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37EA91E" w14:textId="0AF888A1" w:rsidR="00235B80" w:rsidRDefault="00235B80" w:rsidP="00235B80">
      <w:pPr>
        <w:pBdr>
          <w:top w:val="nil"/>
          <w:left w:val="nil"/>
          <w:bottom w:val="nil"/>
          <w:right w:val="nil"/>
          <w:between w:val="nil"/>
        </w:pBdr>
        <w:spacing w:after="0"/>
        <w:rPr>
          <w:rFonts w:ascii="Times New Roman" w:eastAsia="Times New Roman" w:hAnsi="Times New Roman" w:cs="Times New Roman"/>
          <w:b/>
          <w:bCs/>
          <w:sz w:val="40"/>
          <w:szCs w:val="40"/>
        </w:rPr>
      </w:pPr>
      <w:r w:rsidRPr="00235B80">
        <w:rPr>
          <w:rFonts w:ascii="Times New Roman" w:eastAsia="Times New Roman" w:hAnsi="Times New Roman" w:cs="Times New Roman"/>
          <w:b/>
          <w:bCs/>
          <w:sz w:val="40"/>
          <w:szCs w:val="40"/>
        </w:rPr>
        <w:t>Factors affecting access to digital technologies and the resulting impact for students in a P-12 context</w:t>
      </w:r>
    </w:p>
    <w:p w14:paraId="7B9E457A" w14:textId="77777777" w:rsidR="00235B80" w:rsidRPr="00235B80" w:rsidRDefault="00235B80" w:rsidP="00235B80">
      <w:pPr>
        <w:pBdr>
          <w:top w:val="nil"/>
          <w:left w:val="nil"/>
          <w:bottom w:val="nil"/>
          <w:right w:val="nil"/>
          <w:between w:val="nil"/>
        </w:pBdr>
        <w:spacing w:after="0"/>
        <w:rPr>
          <w:rFonts w:ascii="Times New Roman" w:eastAsia="Times New Roman" w:hAnsi="Times New Roman" w:cs="Times New Roman"/>
          <w:b/>
          <w:bCs/>
          <w:sz w:val="40"/>
          <w:szCs w:val="40"/>
        </w:rPr>
      </w:pPr>
    </w:p>
    <w:p w14:paraId="0F7EB9B8" w14:textId="77777777" w:rsidR="002273A7" w:rsidRDefault="0024233B">
      <w:p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Janette Cochrane</w:t>
      </w:r>
    </w:p>
    <w:p w14:paraId="0BA77388" w14:textId="77777777" w:rsidR="0024233B" w:rsidRPr="0024233B" w:rsidRDefault="0024233B" w:rsidP="0024233B">
      <w:pPr>
        <w:pBdr>
          <w:top w:val="nil"/>
          <w:left w:val="nil"/>
          <w:bottom w:val="nil"/>
          <w:right w:val="nil"/>
          <w:between w:val="nil"/>
        </w:pBdr>
        <w:spacing w:after="0"/>
        <w:rPr>
          <w:rFonts w:ascii="Times New Roman" w:eastAsia="Times New Roman" w:hAnsi="Times New Roman" w:cs="Times New Roman"/>
        </w:rPr>
      </w:pPr>
      <w:r w:rsidRPr="0024233B">
        <w:rPr>
          <w:rFonts w:ascii="Times New Roman" w:eastAsia="Times New Roman" w:hAnsi="Times New Roman" w:cs="Times New Roman"/>
        </w:rPr>
        <w:t>University of the Sunshine Coast</w:t>
      </w:r>
    </w:p>
    <w:p w14:paraId="3207D7E9" w14:textId="77777777" w:rsidR="002273A7" w:rsidRDefault="002273A7">
      <w:pPr>
        <w:pBdr>
          <w:top w:val="nil"/>
          <w:left w:val="nil"/>
          <w:bottom w:val="nil"/>
          <w:right w:val="nil"/>
          <w:between w:val="nil"/>
        </w:pBdr>
        <w:spacing w:after="0"/>
        <w:rPr>
          <w:rFonts w:ascii="Times New Roman" w:eastAsia="Times New Roman" w:hAnsi="Times New Roman" w:cs="Times New Roman"/>
        </w:rPr>
      </w:pPr>
    </w:p>
    <w:p w14:paraId="71F2E5A0" w14:textId="3800980A" w:rsidR="002273A7" w:rsidRDefault="002273A7">
      <w:pPr>
        <w:pBdr>
          <w:top w:val="nil"/>
          <w:left w:val="nil"/>
          <w:bottom w:val="nil"/>
          <w:right w:val="nil"/>
          <w:between w:val="nil"/>
        </w:pBdr>
        <w:spacing w:after="0"/>
        <w:jc w:val="center"/>
        <w:rPr>
          <w:rFonts w:ascii="Times New Roman" w:eastAsia="Times New Roman" w:hAnsi="Times New Roman" w:cs="Times New Roman"/>
        </w:rPr>
      </w:pPr>
    </w:p>
    <w:p w14:paraId="09D59C6A" w14:textId="62DE4DBF" w:rsidR="0068294B" w:rsidRDefault="0068294B">
      <w:pPr>
        <w:pBdr>
          <w:top w:val="nil"/>
          <w:left w:val="nil"/>
          <w:bottom w:val="nil"/>
          <w:right w:val="nil"/>
          <w:between w:val="nil"/>
        </w:pBdr>
        <w:spacing w:after="0"/>
        <w:jc w:val="center"/>
        <w:rPr>
          <w:rFonts w:ascii="Times New Roman" w:eastAsia="Times New Roman" w:hAnsi="Times New Roman" w:cs="Times New Roman"/>
        </w:rPr>
      </w:pPr>
    </w:p>
    <w:p w14:paraId="05597DEB" w14:textId="77777777" w:rsidR="0068294B" w:rsidRDefault="0068294B">
      <w:pPr>
        <w:pBdr>
          <w:top w:val="nil"/>
          <w:left w:val="nil"/>
          <w:bottom w:val="nil"/>
          <w:right w:val="nil"/>
          <w:between w:val="nil"/>
        </w:pBdr>
        <w:spacing w:after="0"/>
        <w:jc w:val="center"/>
        <w:rPr>
          <w:rFonts w:ascii="Times New Roman" w:eastAsia="Times New Roman" w:hAnsi="Times New Roman" w:cs="Times New Roman"/>
        </w:rPr>
      </w:pPr>
    </w:p>
    <w:p w14:paraId="0E601F1E" w14:textId="77777777" w:rsidR="002273A7" w:rsidRDefault="002273A7">
      <w:pPr>
        <w:pBdr>
          <w:top w:val="nil"/>
          <w:left w:val="nil"/>
          <w:bottom w:val="nil"/>
          <w:right w:val="nil"/>
          <w:between w:val="nil"/>
        </w:pBdr>
        <w:spacing w:after="0"/>
        <w:jc w:val="center"/>
        <w:rPr>
          <w:rFonts w:ascii="Times New Roman" w:eastAsia="Times New Roman" w:hAnsi="Times New Roman" w:cs="Times New Roman"/>
        </w:rPr>
      </w:pPr>
    </w:p>
    <w:p w14:paraId="039EDE9C" w14:textId="77777777" w:rsidR="0068294B" w:rsidRPr="0068294B" w:rsidRDefault="0068294B" w:rsidP="0068294B">
      <w:pPr>
        <w:pBdr>
          <w:top w:val="nil"/>
          <w:left w:val="nil"/>
          <w:bottom w:val="nil"/>
          <w:right w:val="nil"/>
          <w:between w:val="nil"/>
        </w:pBdr>
        <w:spacing w:after="0"/>
        <w:ind w:left="567" w:right="362"/>
        <w:jc w:val="both"/>
        <w:rPr>
          <w:rFonts w:ascii="Times New Roman" w:eastAsia="Times New Roman" w:hAnsi="Times New Roman" w:cs="Times New Roman"/>
          <w:i/>
          <w:iCs/>
        </w:rPr>
      </w:pPr>
      <w:r w:rsidRPr="0068294B">
        <w:rPr>
          <w:rFonts w:ascii="Times New Roman" w:eastAsia="Times New Roman" w:hAnsi="Times New Roman" w:cs="Times New Roman"/>
          <w:i/>
          <w:iCs/>
        </w:rPr>
        <w:t xml:space="preserve">This article investigates the complexities influencing students’ access to ICT in order to affect a positive academic outcome. The digital divide metaphor (van Dijk, 2002) has re-entered common parlance in the wake of students being required to learn at home (Duffy, 2020; Nash &amp; </w:t>
      </w:r>
      <w:proofErr w:type="spellStart"/>
      <w:r w:rsidRPr="0068294B">
        <w:rPr>
          <w:rFonts w:ascii="Times New Roman" w:eastAsia="Times New Roman" w:hAnsi="Times New Roman" w:cs="Times New Roman"/>
          <w:i/>
          <w:iCs/>
        </w:rPr>
        <w:t>Eynon</w:t>
      </w:r>
      <w:proofErr w:type="spellEnd"/>
      <w:r w:rsidRPr="0068294B">
        <w:rPr>
          <w:rFonts w:ascii="Times New Roman" w:eastAsia="Times New Roman" w:hAnsi="Times New Roman" w:cs="Times New Roman"/>
          <w:i/>
          <w:iCs/>
        </w:rPr>
        <w:t xml:space="preserve">, 2020; Thomson, 2020). Exploration of the digital divide through the interrelated domains of capital (Bourdieu, 2002; </w:t>
      </w:r>
      <w:proofErr w:type="spellStart"/>
      <w:r w:rsidRPr="0068294B">
        <w:rPr>
          <w:rFonts w:ascii="Times New Roman" w:eastAsia="Times New Roman" w:hAnsi="Times New Roman" w:cs="Times New Roman"/>
          <w:i/>
          <w:iCs/>
        </w:rPr>
        <w:t>Ragnedda</w:t>
      </w:r>
      <w:proofErr w:type="spellEnd"/>
      <w:r w:rsidRPr="0068294B">
        <w:rPr>
          <w:rFonts w:ascii="Times New Roman" w:eastAsia="Times New Roman" w:hAnsi="Times New Roman" w:cs="Times New Roman"/>
          <w:i/>
          <w:iCs/>
        </w:rPr>
        <w:t xml:space="preserve"> et al., 2019; Selwyn, 2004) reveals insights into the resultant success or failure of various ICT initiatives. Research identifies a positive impact on academic achievement for disadvantaged students afforded ubiquitous access to appropriate digital technology at home over a period of time. In contrast, advantaged students who already have access to digital technology at home demonstrate a negligible or even negative impact on academic achievement when provided with additional access to digital technology. In the Covid-19 context, access to ICT has been crucial to enabling student participation in learning at home. In the wake of that period, continuing remote learning teaching strategies will impact disadvantaged students. </w:t>
      </w:r>
    </w:p>
    <w:p w14:paraId="415A15BC" w14:textId="77777777" w:rsidR="0068294B" w:rsidRDefault="0068294B" w:rsidP="0024233B">
      <w:pPr>
        <w:pBdr>
          <w:top w:val="nil"/>
          <w:left w:val="nil"/>
          <w:bottom w:val="nil"/>
          <w:right w:val="nil"/>
          <w:between w:val="nil"/>
        </w:pBdr>
        <w:spacing w:after="0"/>
        <w:ind w:left="567" w:right="362"/>
        <w:jc w:val="both"/>
        <w:rPr>
          <w:rFonts w:ascii="Times New Roman" w:eastAsia="Times New Roman" w:hAnsi="Times New Roman" w:cs="Times New Roman"/>
          <w:i/>
          <w:iCs/>
        </w:rPr>
      </w:pPr>
    </w:p>
    <w:p w14:paraId="602A29A6" w14:textId="77777777" w:rsidR="002273A7" w:rsidRDefault="00EF6085">
      <w:pPr>
        <w:pBdr>
          <w:top w:val="nil"/>
          <w:left w:val="nil"/>
          <w:bottom w:val="nil"/>
          <w:right w:val="nil"/>
          <w:between w:val="nil"/>
        </w:pBdr>
        <w:spacing w:after="0"/>
        <w:ind w:left="567" w:right="362"/>
        <w:jc w:val="both"/>
        <w:rPr>
          <w:rFonts w:ascii="Times New Roman" w:eastAsia="Times New Roman" w:hAnsi="Times New Roman" w:cs="Times New Roman"/>
          <w:i/>
        </w:rPr>
      </w:pPr>
      <w:r>
        <w:rPr>
          <w:rFonts w:ascii="Times New Roman" w:eastAsia="Times New Roman" w:hAnsi="Times New Roman" w:cs="Times New Roman"/>
          <w:i/>
        </w:rPr>
        <w:t xml:space="preserve">    </w:t>
      </w:r>
    </w:p>
    <w:p w14:paraId="4A5D5921" w14:textId="77777777" w:rsidR="002273A7" w:rsidRDefault="002273A7">
      <w:pPr>
        <w:pBdr>
          <w:top w:val="nil"/>
          <w:left w:val="nil"/>
          <w:bottom w:val="nil"/>
          <w:right w:val="nil"/>
          <w:between w:val="nil"/>
        </w:pBdr>
        <w:spacing w:after="0"/>
        <w:rPr>
          <w:rFonts w:ascii="Times New Roman" w:eastAsia="Times New Roman" w:hAnsi="Times New Roman" w:cs="Times New Roman"/>
        </w:rPr>
      </w:pPr>
    </w:p>
    <w:p w14:paraId="1114FD2F" w14:textId="77777777" w:rsidR="00235B80" w:rsidRDefault="00235B80">
      <w:pPr>
        <w:pBdr>
          <w:top w:val="nil"/>
          <w:left w:val="nil"/>
          <w:bottom w:val="nil"/>
          <w:right w:val="nil"/>
          <w:between w:val="nil"/>
        </w:pBdr>
        <w:spacing w:after="0"/>
        <w:rPr>
          <w:rFonts w:ascii="Times New Roman" w:eastAsia="Times New Roman" w:hAnsi="Times New Roman" w:cs="Times New Roman"/>
          <w:b/>
        </w:rPr>
      </w:pPr>
    </w:p>
    <w:p w14:paraId="314CA8A1" w14:textId="77777777" w:rsidR="0068294B" w:rsidRDefault="0068294B" w:rsidP="0068294B">
      <w:pPr>
        <w:pStyle w:val="NormalWeb"/>
        <w:spacing w:before="0" w:beforeAutospacing="0" w:after="0" w:afterAutospacing="0"/>
        <w:rPr>
          <w:color w:val="0E101A"/>
        </w:rPr>
      </w:pPr>
      <w:r>
        <w:rPr>
          <w:rStyle w:val="Emphasis"/>
          <w:color w:val="0E101A"/>
        </w:rPr>
        <w:t>    </w:t>
      </w:r>
    </w:p>
    <w:p w14:paraId="64EDF7D6" w14:textId="77777777" w:rsidR="0068294B" w:rsidRDefault="0068294B" w:rsidP="0068294B">
      <w:pPr>
        <w:pStyle w:val="NormalWeb"/>
        <w:spacing w:before="0" w:beforeAutospacing="0" w:after="0" w:afterAutospacing="0"/>
        <w:rPr>
          <w:color w:val="0E101A"/>
        </w:rPr>
      </w:pPr>
    </w:p>
    <w:p w14:paraId="1849B44C" w14:textId="77777777" w:rsidR="0068294B" w:rsidRDefault="0068294B" w:rsidP="0068294B">
      <w:pPr>
        <w:pStyle w:val="NormalWeb"/>
        <w:spacing w:before="0" w:beforeAutospacing="0" w:after="0" w:afterAutospacing="0"/>
        <w:rPr>
          <w:color w:val="0E101A"/>
        </w:rPr>
      </w:pPr>
    </w:p>
    <w:p w14:paraId="206F5BB1" w14:textId="77777777" w:rsidR="00337611" w:rsidRDefault="00337611" w:rsidP="0068294B">
      <w:pPr>
        <w:pStyle w:val="NormalWeb"/>
        <w:spacing w:before="0" w:beforeAutospacing="0" w:after="0" w:afterAutospacing="0"/>
        <w:rPr>
          <w:rStyle w:val="Strong"/>
          <w:color w:val="0E101A"/>
        </w:rPr>
      </w:pPr>
    </w:p>
    <w:p w14:paraId="623AD563" w14:textId="77777777" w:rsidR="00337611" w:rsidRDefault="00337611" w:rsidP="0068294B">
      <w:pPr>
        <w:pStyle w:val="NormalWeb"/>
        <w:spacing w:before="0" w:beforeAutospacing="0" w:after="0" w:afterAutospacing="0"/>
        <w:rPr>
          <w:rStyle w:val="Strong"/>
          <w:color w:val="0E101A"/>
        </w:rPr>
      </w:pPr>
    </w:p>
    <w:p w14:paraId="0E6C550F" w14:textId="77777777" w:rsidR="00337611" w:rsidRDefault="00337611" w:rsidP="0068294B">
      <w:pPr>
        <w:pStyle w:val="NormalWeb"/>
        <w:spacing w:before="0" w:beforeAutospacing="0" w:after="0" w:afterAutospacing="0"/>
        <w:rPr>
          <w:rStyle w:val="Strong"/>
          <w:color w:val="0E101A"/>
        </w:rPr>
      </w:pPr>
    </w:p>
    <w:p w14:paraId="5FBEC3C0" w14:textId="77777777" w:rsidR="00337611" w:rsidRDefault="00337611" w:rsidP="0068294B">
      <w:pPr>
        <w:pStyle w:val="NormalWeb"/>
        <w:spacing w:before="0" w:beforeAutospacing="0" w:after="0" w:afterAutospacing="0"/>
        <w:rPr>
          <w:rStyle w:val="Strong"/>
          <w:color w:val="0E101A"/>
        </w:rPr>
      </w:pPr>
    </w:p>
    <w:p w14:paraId="2B239C48" w14:textId="77777777" w:rsidR="00337611" w:rsidRDefault="00337611" w:rsidP="0068294B">
      <w:pPr>
        <w:pStyle w:val="NormalWeb"/>
        <w:spacing w:before="0" w:beforeAutospacing="0" w:after="0" w:afterAutospacing="0"/>
        <w:rPr>
          <w:rStyle w:val="Strong"/>
          <w:color w:val="0E101A"/>
        </w:rPr>
      </w:pPr>
    </w:p>
    <w:p w14:paraId="7FC11677" w14:textId="77777777" w:rsidR="00337611" w:rsidRDefault="00337611" w:rsidP="0068294B">
      <w:pPr>
        <w:pStyle w:val="NormalWeb"/>
        <w:spacing w:before="0" w:beforeAutospacing="0" w:after="0" w:afterAutospacing="0"/>
        <w:rPr>
          <w:rStyle w:val="Strong"/>
          <w:color w:val="0E101A"/>
        </w:rPr>
      </w:pPr>
    </w:p>
    <w:p w14:paraId="4C2C3913" w14:textId="77777777" w:rsidR="00337611" w:rsidRDefault="00337611" w:rsidP="0068294B">
      <w:pPr>
        <w:pStyle w:val="NormalWeb"/>
        <w:spacing w:before="0" w:beforeAutospacing="0" w:after="0" w:afterAutospacing="0"/>
        <w:rPr>
          <w:rStyle w:val="Strong"/>
          <w:color w:val="0E101A"/>
        </w:rPr>
      </w:pPr>
    </w:p>
    <w:p w14:paraId="409DCF9E" w14:textId="77777777" w:rsidR="00337611" w:rsidRDefault="00337611" w:rsidP="0068294B">
      <w:pPr>
        <w:pStyle w:val="NormalWeb"/>
        <w:spacing w:before="0" w:beforeAutospacing="0" w:after="0" w:afterAutospacing="0"/>
        <w:rPr>
          <w:rStyle w:val="Strong"/>
          <w:color w:val="0E101A"/>
        </w:rPr>
      </w:pPr>
    </w:p>
    <w:p w14:paraId="11C66BD8" w14:textId="77777777" w:rsidR="00337611" w:rsidRDefault="00337611" w:rsidP="0068294B">
      <w:pPr>
        <w:pStyle w:val="NormalWeb"/>
        <w:spacing w:before="0" w:beforeAutospacing="0" w:after="0" w:afterAutospacing="0"/>
        <w:rPr>
          <w:rStyle w:val="Strong"/>
          <w:color w:val="0E101A"/>
        </w:rPr>
      </w:pPr>
    </w:p>
    <w:p w14:paraId="73B3DC01" w14:textId="77777777" w:rsidR="00337611" w:rsidRDefault="00337611" w:rsidP="0068294B">
      <w:pPr>
        <w:pStyle w:val="NormalWeb"/>
        <w:spacing w:before="0" w:beforeAutospacing="0" w:after="0" w:afterAutospacing="0"/>
        <w:rPr>
          <w:rStyle w:val="Strong"/>
          <w:color w:val="0E101A"/>
        </w:rPr>
      </w:pPr>
    </w:p>
    <w:p w14:paraId="27638FA2" w14:textId="77777777" w:rsidR="00337611" w:rsidRDefault="00337611" w:rsidP="0068294B">
      <w:pPr>
        <w:pStyle w:val="NormalWeb"/>
        <w:spacing w:before="0" w:beforeAutospacing="0" w:after="0" w:afterAutospacing="0"/>
        <w:rPr>
          <w:rStyle w:val="Strong"/>
          <w:color w:val="0E101A"/>
        </w:rPr>
      </w:pPr>
    </w:p>
    <w:p w14:paraId="5E967C22" w14:textId="560C0D35" w:rsidR="0068294B" w:rsidRDefault="0068294B" w:rsidP="0068294B">
      <w:pPr>
        <w:pStyle w:val="NormalWeb"/>
        <w:spacing w:before="0" w:beforeAutospacing="0" w:after="0" w:afterAutospacing="0"/>
        <w:rPr>
          <w:color w:val="0E101A"/>
        </w:rPr>
      </w:pPr>
      <w:r>
        <w:rPr>
          <w:rStyle w:val="Strong"/>
          <w:color w:val="0E101A"/>
        </w:rPr>
        <w:lastRenderedPageBreak/>
        <w:t>Introduction</w:t>
      </w:r>
    </w:p>
    <w:p w14:paraId="4E250ADA" w14:textId="77777777" w:rsidR="0068294B" w:rsidRDefault="0068294B" w:rsidP="0068294B">
      <w:pPr>
        <w:pStyle w:val="NormalWeb"/>
        <w:spacing w:before="0" w:beforeAutospacing="0" w:after="0" w:afterAutospacing="0"/>
        <w:rPr>
          <w:color w:val="0E101A"/>
        </w:rPr>
      </w:pPr>
      <w:r>
        <w:rPr>
          <w:rStyle w:val="Strong"/>
          <w:color w:val="0E101A"/>
        </w:rPr>
        <w:t> </w:t>
      </w:r>
    </w:p>
    <w:p w14:paraId="7E1E399D" w14:textId="77777777" w:rsidR="0068294B" w:rsidRDefault="0068294B" w:rsidP="0068294B">
      <w:pPr>
        <w:pStyle w:val="NormalWeb"/>
        <w:spacing w:before="0" w:beforeAutospacing="0" w:after="0" w:afterAutospacing="0"/>
        <w:rPr>
          <w:color w:val="0E101A"/>
        </w:rPr>
      </w:pPr>
      <w:r>
        <w:rPr>
          <w:rStyle w:val="Strong"/>
          <w:color w:val="0E101A"/>
        </w:rPr>
        <w:t> </w:t>
      </w:r>
    </w:p>
    <w:p w14:paraId="4127F91E" w14:textId="77777777" w:rsidR="00337611" w:rsidRDefault="0068294B" w:rsidP="00337611">
      <w:pPr>
        <w:pStyle w:val="NormalWeb"/>
        <w:spacing w:before="0" w:beforeAutospacing="0" w:after="0" w:afterAutospacing="0"/>
        <w:jc w:val="both"/>
        <w:rPr>
          <w:color w:val="0E101A"/>
        </w:rPr>
      </w:pPr>
      <w:r>
        <w:rPr>
          <w:color w:val="0E101A"/>
        </w:rPr>
        <w:t>Until the Covid-19 pandemic response forced students to engage in remote learning, there was widespread perception students’ access to digital technologies, and the internet was ubiquitous. A perception substantiated by the United Nations, who reported global mobile cellular subscriptions were almost equivalent to the population (</w:t>
      </w:r>
      <w:proofErr w:type="spellStart"/>
      <w:r>
        <w:rPr>
          <w:color w:val="0E101A"/>
        </w:rPr>
        <w:t>Resta</w:t>
      </w:r>
      <w:proofErr w:type="spellEnd"/>
      <w:r>
        <w:rPr>
          <w:color w:val="0E101A"/>
        </w:rPr>
        <w:t xml:space="preserve"> &amp; </w:t>
      </w:r>
      <w:proofErr w:type="spellStart"/>
      <w:r>
        <w:rPr>
          <w:color w:val="0E101A"/>
        </w:rPr>
        <w:t>Laferrière</w:t>
      </w:r>
      <w:proofErr w:type="spellEnd"/>
      <w:r>
        <w:rPr>
          <w:color w:val="0E101A"/>
        </w:rPr>
        <w:t xml:space="preserve">, 2015). A mobile cellular subscription implies the internet connection is likely delivered via a smartphone or mobile phone. Charities, contemporary media and online news journals have published articles highlighting significant disadvantage that serves to contradict the perception of ubiquity (Duffy, 2020; Nash &amp; </w:t>
      </w:r>
      <w:proofErr w:type="spellStart"/>
      <w:r>
        <w:rPr>
          <w:color w:val="0E101A"/>
        </w:rPr>
        <w:t>Eynon</w:t>
      </w:r>
      <w:proofErr w:type="spellEnd"/>
      <w:r>
        <w:rPr>
          <w:color w:val="0E101A"/>
        </w:rPr>
        <w:t>, 2020; Thomson, 2020). Supporting the media reports, only 86% of households in Australia had access to the internet in 2016-17, with 99% of those indicating mobile phone ownership (Australian Bureau of Statistics, 2018). Suitability of device form factor has been the focus of studies with mobile phones as the primary device for internet access identified as less favourable than laptops or desktop computers (</w:t>
      </w:r>
      <w:proofErr w:type="spellStart"/>
      <w:r>
        <w:rPr>
          <w:color w:val="0E101A"/>
        </w:rPr>
        <w:t>Reisdorf</w:t>
      </w:r>
      <w:proofErr w:type="spellEnd"/>
      <w:r>
        <w:rPr>
          <w:color w:val="0E101A"/>
        </w:rPr>
        <w:t xml:space="preserve"> et al., 2020). Device selection and ability to maintain access in order to </w:t>
      </w:r>
      <w:r w:rsidR="00337611">
        <w:rPr>
          <w:color w:val="0E101A"/>
        </w:rPr>
        <w:t>affect</w:t>
      </w:r>
      <w:r>
        <w:rPr>
          <w:color w:val="0E101A"/>
        </w:rPr>
        <w:t xml:space="preserve"> a desirable outcome are subject to the complexity of interrelated domains of economic, social and personal capital (Bourdieu, 2002; </w:t>
      </w:r>
      <w:proofErr w:type="spellStart"/>
      <w:r>
        <w:rPr>
          <w:color w:val="0E101A"/>
        </w:rPr>
        <w:t>Ragnedda</w:t>
      </w:r>
      <w:proofErr w:type="spellEnd"/>
      <w:r>
        <w:rPr>
          <w:color w:val="0E101A"/>
        </w:rPr>
        <w:t xml:space="preserve"> et al., 2019; Selwyn, 2004). The socio-economic impact of the Covid-19 pandemic is anticipated to exacerbate existing digital inequality (Nash &amp; </w:t>
      </w:r>
      <w:proofErr w:type="spellStart"/>
      <w:r>
        <w:rPr>
          <w:color w:val="0E101A"/>
        </w:rPr>
        <w:t>Eynon</w:t>
      </w:r>
      <w:proofErr w:type="spellEnd"/>
      <w:r>
        <w:rPr>
          <w:color w:val="0E101A"/>
        </w:rPr>
        <w:t xml:space="preserve">, 2020). </w:t>
      </w:r>
    </w:p>
    <w:p w14:paraId="74C66873" w14:textId="77777777" w:rsidR="00337611" w:rsidRDefault="00337611" w:rsidP="00337611">
      <w:pPr>
        <w:pStyle w:val="NormalWeb"/>
        <w:spacing w:before="0" w:beforeAutospacing="0" w:after="0" w:afterAutospacing="0"/>
        <w:jc w:val="both"/>
        <w:rPr>
          <w:color w:val="0E101A"/>
        </w:rPr>
      </w:pPr>
    </w:p>
    <w:p w14:paraId="689535DE" w14:textId="358CC74B" w:rsidR="0068294B" w:rsidRDefault="0068294B" w:rsidP="00337611">
      <w:pPr>
        <w:pStyle w:val="NormalWeb"/>
        <w:spacing w:before="0" w:beforeAutospacing="0" w:after="0" w:afterAutospacing="0"/>
        <w:jc w:val="both"/>
        <w:rPr>
          <w:color w:val="0E101A"/>
        </w:rPr>
      </w:pPr>
      <w:r>
        <w:rPr>
          <w:color w:val="0E101A"/>
        </w:rPr>
        <w:t xml:space="preserve">It is within and post the Covid-19 context </w:t>
      </w:r>
      <w:r w:rsidR="00337611">
        <w:rPr>
          <w:color w:val="0E101A"/>
        </w:rPr>
        <w:t xml:space="preserve">that </w:t>
      </w:r>
      <w:r>
        <w:rPr>
          <w:color w:val="0E101A"/>
        </w:rPr>
        <w:t>schools will be required to make decisions about student access to digital technologies. Knowledge of the complexities of the digital divide in conjunction with the influence of the domains of capital is imperative to support informed decision making. This paper will investigate the digital divide and the domains of capital (Bourdieu, 2002) and discuss how these contribute to impact student access to and use of ICT. </w:t>
      </w:r>
    </w:p>
    <w:p w14:paraId="3F406CFA" w14:textId="3278A65E" w:rsidR="0068294B" w:rsidRDefault="0068294B" w:rsidP="00337611">
      <w:pPr>
        <w:pStyle w:val="NormalWeb"/>
        <w:spacing w:before="0" w:beforeAutospacing="0" w:after="0" w:afterAutospacing="0"/>
        <w:jc w:val="both"/>
        <w:rPr>
          <w:color w:val="0E101A"/>
        </w:rPr>
      </w:pPr>
    </w:p>
    <w:p w14:paraId="5993239D" w14:textId="77777777" w:rsidR="0068294B" w:rsidRDefault="0068294B" w:rsidP="00337611">
      <w:pPr>
        <w:pStyle w:val="NormalWeb"/>
        <w:spacing w:before="0" w:beforeAutospacing="0" w:after="0" w:afterAutospacing="0"/>
        <w:jc w:val="both"/>
        <w:rPr>
          <w:color w:val="0E101A"/>
        </w:rPr>
      </w:pPr>
    </w:p>
    <w:p w14:paraId="25A178CE" w14:textId="55405891" w:rsidR="0068294B" w:rsidRDefault="0068294B" w:rsidP="00337611">
      <w:pPr>
        <w:pStyle w:val="NormalWeb"/>
        <w:spacing w:before="0" w:beforeAutospacing="0" w:after="0" w:afterAutospacing="0"/>
        <w:jc w:val="both"/>
        <w:rPr>
          <w:rStyle w:val="Strong"/>
          <w:color w:val="0E101A"/>
        </w:rPr>
      </w:pPr>
      <w:r>
        <w:rPr>
          <w:rStyle w:val="Strong"/>
          <w:color w:val="0E101A"/>
        </w:rPr>
        <w:t>Digital Divide</w:t>
      </w:r>
    </w:p>
    <w:p w14:paraId="2092955C" w14:textId="77777777" w:rsidR="0068294B" w:rsidRDefault="0068294B" w:rsidP="00337611">
      <w:pPr>
        <w:pStyle w:val="NormalWeb"/>
        <w:spacing w:before="0" w:beforeAutospacing="0" w:after="0" w:afterAutospacing="0"/>
        <w:jc w:val="both"/>
        <w:rPr>
          <w:color w:val="0E101A"/>
        </w:rPr>
      </w:pPr>
    </w:p>
    <w:p w14:paraId="35CCF6EE" w14:textId="77777777" w:rsidR="00337611" w:rsidRDefault="0068294B" w:rsidP="00337611">
      <w:pPr>
        <w:pStyle w:val="NormalWeb"/>
        <w:spacing w:before="0" w:beforeAutospacing="0" w:after="0" w:afterAutospacing="0"/>
        <w:jc w:val="both"/>
        <w:rPr>
          <w:color w:val="0E101A"/>
        </w:rPr>
      </w:pPr>
      <w:r>
        <w:rPr>
          <w:color w:val="0E101A"/>
        </w:rPr>
        <w:t>Access to digital technologies and the internet address the base layer of the first level of the digital divide (van Dijk, 2002). The notion of access within digital divide research has many nuances. Van Dijk (2002) presented an early conceptualisation of a framework to structure research related to the digital divide metaphor. Four steps of access were identified; mental, material, skills and usage and essentially proposed a dichotomy of have or have not. The framework was presented as cyclical in nature, reflecting the continual presence of new innovation. The initial concept has subsequently become known as the first level digital divide with second and third levels since identified and widely acknowledged in research (</w:t>
      </w:r>
      <w:proofErr w:type="spellStart"/>
      <w:r>
        <w:rPr>
          <w:color w:val="0E101A"/>
        </w:rPr>
        <w:t>Hargittai</w:t>
      </w:r>
      <w:proofErr w:type="spellEnd"/>
      <w:r>
        <w:rPr>
          <w:color w:val="0E101A"/>
        </w:rPr>
        <w:t xml:space="preserve">, 2002; van </w:t>
      </w:r>
      <w:proofErr w:type="spellStart"/>
      <w:r>
        <w:rPr>
          <w:color w:val="0E101A"/>
        </w:rPr>
        <w:t>Deursen</w:t>
      </w:r>
      <w:proofErr w:type="spellEnd"/>
      <w:r>
        <w:rPr>
          <w:color w:val="0E101A"/>
        </w:rPr>
        <w:t xml:space="preserve"> et al., 2017; van </w:t>
      </w:r>
      <w:proofErr w:type="spellStart"/>
      <w:r>
        <w:rPr>
          <w:color w:val="0E101A"/>
        </w:rPr>
        <w:t>Deursen</w:t>
      </w:r>
      <w:proofErr w:type="spellEnd"/>
      <w:r>
        <w:rPr>
          <w:color w:val="0E101A"/>
        </w:rPr>
        <w:t xml:space="preserve"> &amp; van Dijk, 2010; van </w:t>
      </w:r>
      <w:proofErr w:type="spellStart"/>
      <w:r>
        <w:rPr>
          <w:color w:val="0E101A"/>
        </w:rPr>
        <w:t>Deursen</w:t>
      </w:r>
      <w:proofErr w:type="spellEnd"/>
      <w:r>
        <w:rPr>
          <w:color w:val="0E101A"/>
        </w:rPr>
        <w:t xml:space="preserve"> &amp; van Dijk, 2019). They have or have not dichotomy remains somewhat present although blurred in these second and third levels.</w:t>
      </w:r>
      <w:r w:rsidR="00337611">
        <w:rPr>
          <w:color w:val="0E101A"/>
        </w:rPr>
        <w:t xml:space="preserve"> </w:t>
      </w:r>
    </w:p>
    <w:p w14:paraId="473208C9" w14:textId="77777777" w:rsidR="00337611" w:rsidRDefault="00337611" w:rsidP="00337611">
      <w:pPr>
        <w:pStyle w:val="NormalWeb"/>
        <w:spacing w:before="0" w:beforeAutospacing="0" w:after="0" w:afterAutospacing="0"/>
        <w:jc w:val="both"/>
        <w:rPr>
          <w:color w:val="0E101A"/>
        </w:rPr>
      </w:pPr>
    </w:p>
    <w:p w14:paraId="28237119" w14:textId="77777777" w:rsidR="00337611" w:rsidRDefault="00337611" w:rsidP="00337611">
      <w:pPr>
        <w:pStyle w:val="NormalWeb"/>
        <w:spacing w:before="0" w:beforeAutospacing="0" w:after="0" w:afterAutospacing="0"/>
        <w:jc w:val="both"/>
        <w:rPr>
          <w:color w:val="0E101A"/>
        </w:rPr>
      </w:pPr>
    </w:p>
    <w:p w14:paraId="5F8A5423" w14:textId="77777777" w:rsidR="00337611" w:rsidRDefault="00337611" w:rsidP="00337611">
      <w:pPr>
        <w:pStyle w:val="NormalWeb"/>
        <w:spacing w:before="0" w:beforeAutospacing="0" w:after="0" w:afterAutospacing="0"/>
        <w:jc w:val="both"/>
        <w:rPr>
          <w:color w:val="0E101A"/>
        </w:rPr>
      </w:pPr>
    </w:p>
    <w:p w14:paraId="3EB8258A" w14:textId="72B687F2" w:rsidR="0068294B" w:rsidRDefault="0068294B" w:rsidP="00337611">
      <w:pPr>
        <w:pStyle w:val="NormalWeb"/>
        <w:spacing w:before="0" w:beforeAutospacing="0" w:after="0" w:afterAutospacing="0"/>
        <w:jc w:val="both"/>
        <w:rPr>
          <w:color w:val="0E101A"/>
        </w:rPr>
      </w:pPr>
      <w:r>
        <w:rPr>
          <w:color w:val="0E101A"/>
        </w:rPr>
        <w:lastRenderedPageBreak/>
        <w:t>The Digital Education Advisory Group (2012) (DEAG) in Australia presented the notion of smartphones as the device of choice in enabling sufficient access to the internet. With imminent ubiquitous access to the internet and mobile devices, DEAG posit the digital divide will have effectively been addressed within Australian schools within a few years of the release of the report. As previously identified the Australian Bureau of Statistics (2018) data indicates there is still 14% of the Australian population who do not have access to the internet five years later. </w:t>
      </w:r>
    </w:p>
    <w:p w14:paraId="1E7A5D1F" w14:textId="77777777" w:rsidR="00337611" w:rsidRDefault="00337611" w:rsidP="00337611">
      <w:pPr>
        <w:pStyle w:val="NormalWeb"/>
        <w:spacing w:before="0" w:beforeAutospacing="0" w:after="0" w:afterAutospacing="0"/>
        <w:jc w:val="both"/>
        <w:rPr>
          <w:color w:val="0E101A"/>
        </w:rPr>
      </w:pPr>
    </w:p>
    <w:p w14:paraId="3984FD2B" w14:textId="318A0A7A" w:rsidR="0068294B" w:rsidRDefault="0068294B" w:rsidP="00337611">
      <w:pPr>
        <w:pStyle w:val="NormalWeb"/>
        <w:spacing w:before="0" w:beforeAutospacing="0" w:after="0" w:afterAutospacing="0"/>
        <w:jc w:val="both"/>
        <w:rPr>
          <w:color w:val="0E101A"/>
        </w:rPr>
      </w:pPr>
      <w:r>
        <w:rPr>
          <w:color w:val="0E101A"/>
        </w:rPr>
        <w:t>The promise of mobile device capability has been refuted by research into the effectiveness of smartphones in enabling users to achieve the outcomes offered by the internet (</w:t>
      </w:r>
      <w:proofErr w:type="spellStart"/>
      <w:r>
        <w:rPr>
          <w:color w:val="0E101A"/>
        </w:rPr>
        <w:t>Reisdorf</w:t>
      </w:r>
      <w:proofErr w:type="spellEnd"/>
      <w:r>
        <w:rPr>
          <w:color w:val="0E101A"/>
        </w:rPr>
        <w:t xml:space="preserve"> et al., 2020; van </w:t>
      </w:r>
      <w:proofErr w:type="spellStart"/>
      <w:r>
        <w:rPr>
          <w:color w:val="0E101A"/>
        </w:rPr>
        <w:t>Deursen</w:t>
      </w:r>
      <w:proofErr w:type="spellEnd"/>
      <w:r>
        <w:rPr>
          <w:color w:val="0E101A"/>
        </w:rPr>
        <w:t xml:space="preserve"> &amp; </w:t>
      </w:r>
      <w:proofErr w:type="spellStart"/>
      <w:r>
        <w:rPr>
          <w:color w:val="0E101A"/>
        </w:rPr>
        <w:t>Helsper</w:t>
      </w:r>
      <w:proofErr w:type="spellEnd"/>
      <w:r>
        <w:rPr>
          <w:color w:val="0E101A"/>
        </w:rPr>
        <w:t>, 2015). It is contended the digital divide has been ever-present, superficially masked by the availability of mobile internet. The widespread adoption of mobile phone technology with associated internet subscription has presented a scenario of extensive and comprehensive internet access; however, those whose access to the internet is solely via a mobile phone or smartphone have been identified as falling into a digital or mobile underclass category of disadvantage (</w:t>
      </w:r>
      <w:proofErr w:type="spellStart"/>
      <w:r>
        <w:rPr>
          <w:color w:val="0E101A"/>
        </w:rPr>
        <w:t>Helsper</w:t>
      </w:r>
      <w:proofErr w:type="spellEnd"/>
      <w:r>
        <w:rPr>
          <w:color w:val="0E101A"/>
        </w:rPr>
        <w:t xml:space="preserve"> &amp; </w:t>
      </w:r>
      <w:proofErr w:type="spellStart"/>
      <w:r>
        <w:rPr>
          <w:color w:val="0E101A"/>
        </w:rPr>
        <w:t>Reisdorf</w:t>
      </w:r>
      <w:proofErr w:type="spellEnd"/>
      <w:r>
        <w:rPr>
          <w:color w:val="0E101A"/>
        </w:rPr>
        <w:t>, 2017; Napoli &amp; Obar, 2014; Wang &amp; Liu, 2017). Device type presents varied affordances. Desktops and laptops present a limited opportunity for continuous social engagement; however, mobile or tablet access provides a restricted opportunity for deeper immersion in online activities. Access to a range of devices, however, takes advantage of the affordances of each device and reduces the impact of education and economic factors on the diversity of internet opportunities (</w:t>
      </w:r>
      <w:proofErr w:type="spellStart"/>
      <w:r>
        <w:rPr>
          <w:color w:val="0E101A"/>
        </w:rPr>
        <w:t>Reisdorf</w:t>
      </w:r>
      <w:proofErr w:type="spellEnd"/>
      <w:r>
        <w:rPr>
          <w:color w:val="0E101A"/>
        </w:rPr>
        <w:t xml:space="preserve"> et al., 2020; van </w:t>
      </w:r>
      <w:proofErr w:type="spellStart"/>
      <w:r>
        <w:rPr>
          <w:color w:val="0E101A"/>
        </w:rPr>
        <w:t>Deursen</w:t>
      </w:r>
      <w:proofErr w:type="spellEnd"/>
      <w:r>
        <w:rPr>
          <w:color w:val="0E101A"/>
        </w:rPr>
        <w:t xml:space="preserve"> &amp; van Dijk, 2019). </w:t>
      </w:r>
    </w:p>
    <w:p w14:paraId="17C0AEE2" w14:textId="77777777" w:rsidR="00337611" w:rsidRDefault="00337611" w:rsidP="00337611">
      <w:pPr>
        <w:pStyle w:val="NormalWeb"/>
        <w:spacing w:before="0" w:beforeAutospacing="0" w:after="0" w:afterAutospacing="0"/>
        <w:jc w:val="both"/>
        <w:rPr>
          <w:color w:val="0E101A"/>
        </w:rPr>
      </w:pPr>
    </w:p>
    <w:p w14:paraId="3DF132E3" w14:textId="0913D23F" w:rsidR="0068294B" w:rsidRDefault="0068294B" w:rsidP="00337611">
      <w:pPr>
        <w:pStyle w:val="NormalWeb"/>
        <w:spacing w:before="0" w:beforeAutospacing="0" w:after="0" w:afterAutospacing="0"/>
        <w:jc w:val="both"/>
        <w:rPr>
          <w:color w:val="0E101A"/>
        </w:rPr>
      </w:pPr>
      <w:r>
        <w:rPr>
          <w:color w:val="0E101A"/>
        </w:rPr>
        <w:t>The rapid development of new technologies enables leapfrogging wherein a new technology emerges with affordances superseding previous technologies. Leapfrogging is somewhat counter to diffusion theory wherein the laggards, or the disadvantaged will rarely catch the innovators as they progress to the new (Rogers, 2003). The laggards will likely be excluded from realising the benefits of the new technology affordances and be at risk of falling further behind. Mobile phones, or smartphones, present an example of leapfrogging. Smartphone sophistication and affordances increase with every new iteration. Mobile leapfrogging, a term initially employed to describe the shift by vendors or government agencies to the provision of a mobile data service instead of a fixed home service (</w:t>
      </w:r>
      <w:proofErr w:type="spellStart"/>
      <w:r>
        <w:rPr>
          <w:color w:val="0E101A"/>
        </w:rPr>
        <w:t>Reisdorf</w:t>
      </w:r>
      <w:proofErr w:type="spellEnd"/>
      <w:r>
        <w:rPr>
          <w:color w:val="0E101A"/>
        </w:rPr>
        <w:t xml:space="preserve"> et al., 2020), is an apt description of the increasing trend towards users with mobile-only access. However, to paraphrase Orwell, ‘all internet access is equal, but some access is more equal than others’ (Orwell, 1945). The inequity of mode and purpose of internet access is brought to the fore through the second and third levels of the digital divide (van </w:t>
      </w:r>
      <w:proofErr w:type="spellStart"/>
      <w:r>
        <w:rPr>
          <w:color w:val="0E101A"/>
        </w:rPr>
        <w:t>Deursen</w:t>
      </w:r>
      <w:proofErr w:type="spellEnd"/>
      <w:r>
        <w:rPr>
          <w:color w:val="0E101A"/>
        </w:rPr>
        <w:t xml:space="preserve"> et al., 2017). Inappropriate device type will impact the ability to effectively engage with the internet to realise outcomes. Research around citizens in disadvantaged, inner-city neighbourhoods of Detroit found the provision of internet access was predominantly via mobile data service rather than broadband infrastructure (</w:t>
      </w:r>
      <w:proofErr w:type="spellStart"/>
      <w:r>
        <w:rPr>
          <w:color w:val="0E101A"/>
        </w:rPr>
        <w:t>Reisdorf</w:t>
      </w:r>
      <w:proofErr w:type="spellEnd"/>
      <w:r>
        <w:rPr>
          <w:color w:val="0E101A"/>
        </w:rPr>
        <w:t xml:space="preserve"> et al., 2020). Mobile data provision determines use confined to mobile phones resulting in a restriction of online activities. Detroit city enabled access to fixed broadband service through community spaces. Although autonomy of use (DiMaggio et al., 2004) remains a restriction in a public location, it serves to provide access through an alternative mode. The research conducted by </w:t>
      </w:r>
      <w:proofErr w:type="spellStart"/>
      <w:r>
        <w:rPr>
          <w:color w:val="0E101A"/>
        </w:rPr>
        <w:t>Reisdorf</w:t>
      </w:r>
      <w:proofErr w:type="spellEnd"/>
      <w:r>
        <w:rPr>
          <w:color w:val="0E101A"/>
        </w:rPr>
        <w:t xml:space="preserve"> et al. (2020) identified citizens who accessed the internet through a range of different modes, i.e. home, work, library, school, or mobile phones, were able to engage </w:t>
      </w:r>
      <w:r>
        <w:rPr>
          <w:color w:val="0E101A"/>
        </w:rPr>
        <w:lastRenderedPageBreak/>
        <w:t>in a wider variety of online activities. In short, the opportunity for breadth of access is a determinant of the breadth of activities. Socio-economic variables were not found to be a significant factor; however, it is contended social and cultural capital will impact the breadth of access as a result of unemployment or lack of engagement with community services (Bourdieu, 2002). </w:t>
      </w:r>
    </w:p>
    <w:p w14:paraId="5875734E" w14:textId="77777777" w:rsidR="0068294B" w:rsidRDefault="0068294B" w:rsidP="00337611">
      <w:pPr>
        <w:pStyle w:val="NormalWeb"/>
        <w:spacing w:before="0" w:beforeAutospacing="0" w:after="0" w:afterAutospacing="0"/>
        <w:jc w:val="both"/>
        <w:rPr>
          <w:color w:val="0E101A"/>
        </w:rPr>
      </w:pPr>
    </w:p>
    <w:p w14:paraId="693A0741" w14:textId="2CD56EEC" w:rsidR="0068294B" w:rsidRDefault="0068294B" w:rsidP="00337611">
      <w:pPr>
        <w:pStyle w:val="NormalWeb"/>
        <w:spacing w:before="0" w:beforeAutospacing="0" w:after="0" w:afterAutospacing="0"/>
        <w:jc w:val="both"/>
        <w:rPr>
          <w:color w:val="0E101A"/>
        </w:rPr>
      </w:pPr>
      <w:r>
        <w:rPr>
          <w:color w:val="0E101A"/>
        </w:rPr>
        <w:t xml:space="preserve">The acuity of digital divide research emerges within the second and third levels wherein the focus is on the skills, purposes and outcomes of the use of the internet (van </w:t>
      </w:r>
      <w:proofErr w:type="spellStart"/>
      <w:r>
        <w:rPr>
          <w:color w:val="0E101A"/>
        </w:rPr>
        <w:t>Deursen</w:t>
      </w:r>
      <w:proofErr w:type="spellEnd"/>
      <w:r>
        <w:rPr>
          <w:color w:val="0E101A"/>
        </w:rPr>
        <w:t xml:space="preserve"> &amp; </w:t>
      </w:r>
      <w:proofErr w:type="spellStart"/>
      <w:r>
        <w:rPr>
          <w:color w:val="0E101A"/>
        </w:rPr>
        <w:t>Helsper</w:t>
      </w:r>
      <w:proofErr w:type="spellEnd"/>
      <w:r>
        <w:rPr>
          <w:color w:val="0E101A"/>
        </w:rPr>
        <w:t xml:space="preserve">, 2015). The second and third levels extend the notion of access to include a broader range of skills and achievement of outcomes as a result of engagement with the internet. Critical to the </w:t>
      </w:r>
      <w:proofErr w:type="spellStart"/>
      <w:r>
        <w:rPr>
          <w:color w:val="0E101A"/>
        </w:rPr>
        <w:t>nestedness</w:t>
      </w:r>
      <w:proofErr w:type="spellEnd"/>
      <w:r>
        <w:rPr>
          <w:color w:val="0E101A"/>
        </w:rPr>
        <w:t xml:space="preserve"> and </w:t>
      </w:r>
      <w:proofErr w:type="spellStart"/>
      <w:r>
        <w:rPr>
          <w:color w:val="0E101A"/>
        </w:rPr>
        <w:t>sequentiality</w:t>
      </w:r>
      <w:proofErr w:type="spellEnd"/>
      <w:r>
        <w:rPr>
          <w:color w:val="0E101A"/>
        </w:rPr>
        <w:t xml:space="preserve"> of the levels is the compound effect of no access at any one level, on all subsequent levels (van </w:t>
      </w:r>
      <w:proofErr w:type="spellStart"/>
      <w:r>
        <w:rPr>
          <w:color w:val="0E101A"/>
        </w:rPr>
        <w:t>Deursen</w:t>
      </w:r>
      <w:proofErr w:type="spellEnd"/>
      <w:r>
        <w:rPr>
          <w:color w:val="0E101A"/>
        </w:rPr>
        <w:t xml:space="preserve"> et al., 2017). In addition, the recursive nature of the framework is integral to the three levels of the digital divide, having particular relevance within the context of rapid emergence and adoption of new technologies. The effect of </w:t>
      </w:r>
      <w:proofErr w:type="spellStart"/>
      <w:r>
        <w:rPr>
          <w:color w:val="0E101A"/>
        </w:rPr>
        <w:t>compoundness</w:t>
      </w:r>
      <w:proofErr w:type="spellEnd"/>
      <w:r>
        <w:rPr>
          <w:color w:val="0E101A"/>
        </w:rPr>
        <w:t xml:space="preserve"> is essential for schools and education systems to acknowledge. Inhibiting student access reinforces the risk of perpetuating digital, social and economic exclusion (</w:t>
      </w:r>
      <w:proofErr w:type="spellStart"/>
      <w:r>
        <w:rPr>
          <w:color w:val="0E101A"/>
        </w:rPr>
        <w:t>Resta</w:t>
      </w:r>
      <w:proofErr w:type="spellEnd"/>
      <w:r>
        <w:rPr>
          <w:color w:val="0E101A"/>
        </w:rPr>
        <w:t xml:space="preserve"> et al., 2018). </w:t>
      </w:r>
    </w:p>
    <w:p w14:paraId="130D29AE" w14:textId="77777777" w:rsidR="0068294B" w:rsidRDefault="0068294B" w:rsidP="00337611">
      <w:pPr>
        <w:pStyle w:val="NormalWeb"/>
        <w:spacing w:before="0" w:beforeAutospacing="0" w:after="0" w:afterAutospacing="0"/>
        <w:jc w:val="both"/>
        <w:rPr>
          <w:color w:val="0E101A"/>
        </w:rPr>
      </w:pPr>
    </w:p>
    <w:p w14:paraId="72352BD1" w14:textId="7B04B8CC" w:rsidR="0068294B" w:rsidRDefault="0068294B" w:rsidP="00337611">
      <w:pPr>
        <w:pStyle w:val="NormalWeb"/>
        <w:spacing w:before="0" w:beforeAutospacing="0" w:after="0" w:afterAutospacing="0"/>
        <w:jc w:val="both"/>
        <w:rPr>
          <w:color w:val="0E101A"/>
        </w:rPr>
      </w:pPr>
      <w:r>
        <w:rPr>
          <w:color w:val="0E101A"/>
        </w:rPr>
        <w:t xml:space="preserve">Despite the evolution of knowledge of the digital divide complexities, it is the first level digital divide, and specifically access to devices and the internet, that is most consistently referred to in contemporary media (Duffy, 2020; Nash &amp; </w:t>
      </w:r>
      <w:proofErr w:type="spellStart"/>
      <w:r>
        <w:rPr>
          <w:color w:val="0E101A"/>
        </w:rPr>
        <w:t>Eynon</w:t>
      </w:r>
      <w:proofErr w:type="spellEnd"/>
      <w:r>
        <w:rPr>
          <w:color w:val="0E101A"/>
        </w:rPr>
        <w:t>, 2020), possibly because access may be perceived to be easily addressed through the application of attention and finance, revisiting the dichotomous nature of access within the first level, i.e. increased opportunities for affordable internet and devices accompanied by classes teaching basic skills for connection will ensure the ‘have nots’ become the ‘haves’. Citizens of Hong Kong experience near-ubiquitous access to the internet as a result of government strategies, however, digital inequity persists and is evident in the way internet is used by students (Yuen et al., 2018). Cultural capital was found to impact the way in which a student will engage with technology outside the school context. The student will develop skills to use the technology at school, however, parents’ capacity to further engender those skills or mediate access to technology at home impacts the students’ effective or meaningful use of technology. The first level digital divide factors have effectively been addressed in Hong Kong, yet a divide continues to exist between those with greater cultural capital and those without.</w:t>
      </w:r>
    </w:p>
    <w:p w14:paraId="7F3259F9" w14:textId="77777777" w:rsidR="0068294B" w:rsidRDefault="0068294B" w:rsidP="00337611">
      <w:pPr>
        <w:pStyle w:val="NormalWeb"/>
        <w:spacing w:before="0" w:beforeAutospacing="0" w:after="0" w:afterAutospacing="0"/>
        <w:jc w:val="both"/>
        <w:rPr>
          <w:color w:val="0E101A"/>
        </w:rPr>
      </w:pPr>
    </w:p>
    <w:p w14:paraId="7CDEDDA5" w14:textId="3474CCB9" w:rsidR="0068294B" w:rsidRDefault="0068294B" w:rsidP="00337611">
      <w:pPr>
        <w:pStyle w:val="NormalWeb"/>
        <w:spacing w:before="0" w:beforeAutospacing="0" w:after="0" w:afterAutospacing="0"/>
        <w:jc w:val="both"/>
        <w:rPr>
          <w:color w:val="0E101A"/>
        </w:rPr>
      </w:pPr>
      <w:r>
        <w:rPr>
          <w:color w:val="0E101A"/>
        </w:rPr>
        <w:t>Key indicators for those at risk of being subject to the negative impact of a digital divide include; socio-economic status, geographic location, education level and duration of use (</w:t>
      </w:r>
      <w:proofErr w:type="spellStart"/>
      <w:r>
        <w:rPr>
          <w:color w:val="0E101A"/>
        </w:rPr>
        <w:t>Hargittai</w:t>
      </w:r>
      <w:proofErr w:type="spellEnd"/>
      <w:r>
        <w:rPr>
          <w:color w:val="0E101A"/>
        </w:rPr>
        <w:t xml:space="preserve">, 2002; van </w:t>
      </w:r>
      <w:proofErr w:type="spellStart"/>
      <w:r>
        <w:rPr>
          <w:color w:val="0E101A"/>
        </w:rPr>
        <w:t>Deursen</w:t>
      </w:r>
      <w:proofErr w:type="spellEnd"/>
      <w:r>
        <w:rPr>
          <w:color w:val="0E101A"/>
        </w:rPr>
        <w:t xml:space="preserve"> &amp; </w:t>
      </w:r>
      <w:proofErr w:type="spellStart"/>
      <w:r>
        <w:rPr>
          <w:color w:val="0E101A"/>
        </w:rPr>
        <w:t>Helsper</w:t>
      </w:r>
      <w:proofErr w:type="spellEnd"/>
      <w:r>
        <w:rPr>
          <w:color w:val="0E101A"/>
        </w:rPr>
        <w:t>, 2015). Digital inequalities are evident across all of these indicators, individually and collectively. (Selwyn &amp; Facer, 2014). The key indicators, as contributors to second-level digital divide factors, determine the types of technologies used, how they are used and the resultant outcomes. Socio-economic status and education levels impacting the type and purpose of the technologies used are key indicators in the research studies identified previously. Citizens of disadvantaged, inner-city neighbourhoods in Detroit were constrained to the use of mobile phones for internet access (</w:t>
      </w:r>
      <w:proofErr w:type="spellStart"/>
      <w:r>
        <w:rPr>
          <w:color w:val="0E101A"/>
        </w:rPr>
        <w:t>Reisdorf</w:t>
      </w:r>
      <w:proofErr w:type="spellEnd"/>
      <w:r>
        <w:rPr>
          <w:color w:val="0E101A"/>
        </w:rPr>
        <w:t xml:space="preserve"> et al., 2020). Students in Hong Kong have reduced opportunity to maximise effective and meaningful access to technologies as a result of limited parental capacity to mediate use (Yuen et al., 2018). </w:t>
      </w:r>
    </w:p>
    <w:p w14:paraId="7FDE9DA9" w14:textId="77777777" w:rsidR="0068294B" w:rsidRDefault="0068294B" w:rsidP="00337611">
      <w:pPr>
        <w:pStyle w:val="NormalWeb"/>
        <w:spacing w:before="0" w:beforeAutospacing="0" w:after="0" w:afterAutospacing="0"/>
        <w:jc w:val="both"/>
        <w:rPr>
          <w:color w:val="0E101A"/>
        </w:rPr>
      </w:pPr>
    </w:p>
    <w:p w14:paraId="06039129" w14:textId="3724D13A" w:rsidR="0068294B" w:rsidRDefault="0068294B" w:rsidP="00337611">
      <w:pPr>
        <w:pStyle w:val="NormalWeb"/>
        <w:spacing w:before="0" w:beforeAutospacing="0" w:after="0" w:afterAutospacing="0"/>
        <w:jc w:val="both"/>
        <w:rPr>
          <w:color w:val="0E101A"/>
        </w:rPr>
      </w:pPr>
      <w:r>
        <w:rPr>
          <w:color w:val="0E101A"/>
        </w:rPr>
        <w:lastRenderedPageBreak/>
        <w:t>A limitation of Digital divide research is the primary focus on adults as homogenous groups defined by indicators of disadvantage. Attributes of the individual or family as an interdependent group must be considered when looking to factors influencing student digital equity (Yuen et al., 2018). A further limitation of digital divide research is the absence of underpinning theory to understand the deeper causes of inequality of access (van Dijk, 2006). </w:t>
      </w:r>
    </w:p>
    <w:p w14:paraId="51E48E49" w14:textId="28091789" w:rsidR="0068294B" w:rsidRDefault="0068294B" w:rsidP="00337611">
      <w:pPr>
        <w:pStyle w:val="NormalWeb"/>
        <w:spacing w:before="0" w:beforeAutospacing="0" w:after="0" w:afterAutospacing="0"/>
        <w:jc w:val="both"/>
        <w:rPr>
          <w:color w:val="0E101A"/>
        </w:rPr>
      </w:pPr>
    </w:p>
    <w:p w14:paraId="7FD8B1AA" w14:textId="77777777" w:rsidR="0068294B" w:rsidRDefault="0068294B" w:rsidP="00337611">
      <w:pPr>
        <w:pStyle w:val="NormalWeb"/>
        <w:spacing w:before="0" w:beforeAutospacing="0" w:after="0" w:afterAutospacing="0"/>
        <w:jc w:val="both"/>
        <w:rPr>
          <w:color w:val="0E101A"/>
        </w:rPr>
      </w:pPr>
    </w:p>
    <w:p w14:paraId="48336FCB" w14:textId="1A534F0A" w:rsidR="0068294B" w:rsidRDefault="0068294B" w:rsidP="00337611">
      <w:pPr>
        <w:pStyle w:val="NormalWeb"/>
        <w:spacing w:before="0" w:beforeAutospacing="0" w:after="0" w:afterAutospacing="0"/>
        <w:jc w:val="both"/>
        <w:rPr>
          <w:rStyle w:val="Strong"/>
          <w:color w:val="0E101A"/>
        </w:rPr>
      </w:pPr>
      <w:r>
        <w:rPr>
          <w:rStyle w:val="Strong"/>
          <w:color w:val="0E101A"/>
        </w:rPr>
        <w:t>Domains of Capital</w:t>
      </w:r>
    </w:p>
    <w:p w14:paraId="090BE2D1" w14:textId="77777777" w:rsidR="0068294B" w:rsidRDefault="0068294B" w:rsidP="00337611">
      <w:pPr>
        <w:pStyle w:val="NormalWeb"/>
        <w:spacing w:before="0" w:beforeAutospacing="0" w:after="0" w:afterAutospacing="0"/>
        <w:jc w:val="both"/>
        <w:rPr>
          <w:color w:val="0E101A"/>
        </w:rPr>
      </w:pPr>
    </w:p>
    <w:p w14:paraId="7854A073" w14:textId="1A7B6B53" w:rsidR="0068294B" w:rsidRDefault="0068294B" w:rsidP="00337611">
      <w:pPr>
        <w:pStyle w:val="NormalWeb"/>
        <w:spacing w:before="0" w:beforeAutospacing="0" w:after="0" w:afterAutospacing="0"/>
        <w:jc w:val="both"/>
        <w:rPr>
          <w:color w:val="0E101A"/>
        </w:rPr>
      </w:pPr>
      <w:r>
        <w:rPr>
          <w:color w:val="0E101A"/>
        </w:rPr>
        <w:t xml:space="preserve">An individual’s ability to engage with and use ICT to </w:t>
      </w:r>
      <w:proofErr w:type="gramStart"/>
      <w:r>
        <w:rPr>
          <w:color w:val="0E101A"/>
        </w:rPr>
        <w:t>effect</w:t>
      </w:r>
      <w:proofErr w:type="gramEnd"/>
      <w:r>
        <w:rPr>
          <w:color w:val="0E101A"/>
        </w:rPr>
        <w:t xml:space="preserve"> a positive outcome is significantly influenced by the interrelated domains of capital (Bourdieu, 2002; Gomez, 2019; OECD, 2010; </w:t>
      </w:r>
      <w:proofErr w:type="spellStart"/>
      <w:r>
        <w:rPr>
          <w:color w:val="0E101A"/>
        </w:rPr>
        <w:t>Ragnedda</w:t>
      </w:r>
      <w:proofErr w:type="spellEnd"/>
      <w:r>
        <w:rPr>
          <w:color w:val="0E101A"/>
        </w:rPr>
        <w:t xml:space="preserve"> &amp; </w:t>
      </w:r>
      <w:proofErr w:type="spellStart"/>
      <w:r>
        <w:rPr>
          <w:color w:val="0E101A"/>
        </w:rPr>
        <w:t>Mutsvairo</w:t>
      </w:r>
      <w:proofErr w:type="spellEnd"/>
      <w:r>
        <w:rPr>
          <w:color w:val="0E101A"/>
        </w:rPr>
        <w:t xml:space="preserve">, 2018; </w:t>
      </w:r>
      <w:proofErr w:type="spellStart"/>
      <w:r>
        <w:rPr>
          <w:color w:val="0E101A"/>
        </w:rPr>
        <w:t>Ragnedda</w:t>
      </w:r>
      <w:proofErr w:type="spellEnd"/>
      <w:r>
        <w:rPr>
          <w:color w:val="0E101A"/>
        </w:rPr>
        <w:t xml:space="preserve"> et al., 2019; Selwyn, 2004; van </w:t>
      </w:r>
      <w:proofErr w:type="spellStart"/>
      <w:r>
        <w:rPr>
          <w:color w:val="0E101A"/>
        </w:rPr>
        <w:t>Deursen</w:t>
      </w:r>
      <w:proofErr w:type="spellEnd"/>
      <w:r>
        <w:rPr>
          <w:color w:val="0E101A"/>
        </w:rPr>
        <w:t xml:space="preserve"> &amp; van Dijk, 2019). Selwyn (2004) draws attention to the need to shift focus from the technological onto social, economic and cultural issues of the digital divide. </w:t>
      </w:r>
    </w:p>
    <w:p w14:paraId="0BD10D0C" w14:textId="77777777" w:rsidR="0068294B" w:rsidRDefault="0068294B" w:rsidP="00337611">
      <w:pPr>
        <w:pStyle w:val="NormalWeb"/>
        <w:spacing w:before="0" w:beforeAutospacing="0" w:after="0" w:afterAutospacing="0"/>
        <w:jc w:val="both"/>
        <w:rPr>
          <w:color w:val="0E101A"/>
        </w:rPr>
      </w:pPr>
    </w:p>
    <w:p w14:paraId="619C5695" w14:textId="6DEE3A2E" w:rsidR="0068294B" w:rsidRDefault="0068294B" w:rsidP="00337611">
      <w:pPr>
        <w:pStyle w:val="NormalWeb"/>
        <w:spacing w:before="0" w:beforeAutospacing="0" w:after="0" w:afterAutospacing="0"/>
        <w:jc w:val="both"/>
        <w:rPr>
          <w:color w:val="0E101A"/>
        </w:rPr>
      </w:pPr>
      <w:r>
        <w:rPr>
          <w:color w:val="0E101A"/>
        </w:rPr>
        <w:t>When viewed through a technological capital frame, all three domains of capital are evident in the procurement of a device; economic capacity to effect the purchase, technological cultural knowledge to select a fit-for-purpose device, and a technical social network to initiate and maintain the device and connection (Selwyn, 2004). It is through Bourdieu’s (2002) domains of capital the focus turns to the individual within the context of the family wherein economic, social and cultural capital is appropriated from the context in which the student was raised and, as evidenced by the digital divide indicators, has a significant impact on their ability to engage with digital technologies to effect a positive outcome. The introduction of technological capital as a subset of economic, social and cultural capital contributes to developing a greater understanding of the individual (Selwyn, 2004). The notion of technological capital adds a further dimension to the digital divide indicators. The first level issue of material access is not restricted to economic status as predisposition as well as skills are pre-requisites to obtaining access (van Dijk, 2002). Cultural and social capital are determinants of predisposition and skill. Contributing further to the concept of technological capital is a proposal by Gomez (2019) to position it as a subset of cultural capital within the frame of digital inequalities and the reproduction of digital and social stratification (Gomez, 2018). In doing so, ICT is more explicitly situated within the domain of cultural capital as a specific indicator. </w:t>
      </w:r>
    </w:p>
    <w:p w14:paraId="673AF916" w14:textId="77777777" w:rsidR="0068294B" w:rsidRDefault="0068294B" w:rsidP="00337611">
      <w:pPr>
        <w:pStyle w:val="NormalWeb"/>
        <w:spacing w:before="0" w:beforeAutospacing="0" w:after="0" w:afterAutospacing="0"/>
        <w:jc w:val="both"/>
        <w:rPr>
          <w:color w:val="0E101A"/>
        </w:rPr>
      </w:pPr>
    </w:p>
    <w:p w14:paraId="45B2873E" w14:textId="77777777" w:rsidR="0068294B" w:rsidRDefault="0068294B" w:rsidP="00337611">
      <w:pPr>
        <w:pStyle w:val="NormalWeb"/>
        <w:spacing w:before="0" w:beforeAutospacing="0" w:after="0" w:afterAutospacing="0"/>
        <w:jc w:val="both"/>
        <w:rPr>
          <w:color w:val="0E101A"/>
        </w:rPr>
      </w:pPr>
      <w:proofErr w:type="spellStart"/>
      <w:r>
        <w:rPr>
          <w:color w:val="0E101A"/>
        </w:rPr>
        <w:t>Tondeur</w:t>
      </w:r>
      <w:proofErr w:type="spellEnd"/>
      <w:r>
        <w:rPr>
          <w:color w:val="0E101A"/>
        </w:rPr>
        <w:t xml:space="preserve"> et al. (2010) support Selwyn’s (2004) proposed shift in focus from the technology but proposed ICT as an indicator of cultural capital wherein ICT is the contemporary means of gaining access to information, skills and competencies. The role of economic capital in ensuring the means for the procurement of a device is acknowledged. ICT as cultural capital addresses the predisposition or mental access element of the first level of the digital divide framework (van Dijk, 2002). The second and third levels are where it is most applicable, as evident in the disparities in how and why children use the internet in conjunction with the resultant outcomes (</w:t>
      </w:r>
      <w:proofErr w:type="spellStart"/>
      <w:r>
        <w:rPr>
          <w:color w:val="0E101A"/>
        </w:rPr>
        <w:t>Hargittai</w:t>
      </w:r>
      <w:proofErr w:type="spellEnd"/>
      <w:r>
        <w:rPr>
          <w:color w:val="0E101A"/>
        </w:rPr>
        <w:t xml:space="preserve">, 2002; van </w:t>
      </w:r>
      <w:proofErr w:type="spellStart"/>
      <w:r>
        <w:rPr>
          <w:color w:val="0E101A"/>
        </w:rPr>
        <w:t>Deursen</w:t>
      </w:r>
      <w:proofErr w:type="spellEnd"/>
      <w:r>
        <w:rPr>
          <w:color w:val="0E101A"/>
        </w:rPr>
        <w:t xml:space="preserve"> &amp; </w:t>
      </w:r>
      <w:proofErr w:type="spellStart"/>
      <w:r>
        <w:rPr>
          <w:color w:val="0E101A"/>
        </w:rPr>
        <w:t>Helsper</w:t>
      </w:r>
      <w:proofErr w:type="spellEnd"/>
      <w:r>
        <w:rPr>
          <w:color w:val="0E101A"/>
        </w:rPr>
        <w:t xml:space="preserve">, 2015; van </w:t>
      </w:r>
      <w:proofErr w:type="spellStart"/>
      <w:r>
        <w:rPr>
          <w:color w:val="0E101A"/>
        </w:rPr>
        <w:t>Deursen</w:t>
      </w:r>
      <w:proofErr w:type="spellEnd"/>
      <w:r>
        <w:rPr>
          <w:color w:val="0E101A"/>
        </w:rPr>
        <w:t xml:space="preserve"> &amp; van Dijk, 2019; Yuen et al., 2018). Despite having ubiquitous access to technology, and the requisite skills, students in </w:t>
      </w:r>
      <w:r>
        <w:rPr>
          <w:color w:val="0E101A"/>
        </w:rPr>
        <w:lastRenderedPageBreak/>
        <w:t>Hong Kong experience digital inequity in the ability to capitalise on this access as a consequence of cultural capital dependency (Yuen et al., 2018). </w:t>
      </w:r>
    </w:p>
    <w:p w14:paraId="6CFB2BB0" w14:textId="58CA9B0E" w:rsidR="0068294B" w:rsidRDefault="0068294B" w:rsidP="00337611">
      <w:pPr>
        <w:pStyle w:val="NormalWeb"/>
        <w:spacing w:before="0" w:beforeAutospacing="0" w:after="0" w:afterAutospacing="0"/>
        <w:jc w:val="both"/>
        <w:rPr>
          <w:color w:val="0E101A"/>
        </w:rPr>
      </w:pPr>
      <w:r>
        <w:rPr>
          <w:color w:val="0E101A"/>
        </w:rPr>
        <w:t>Digital Capital, as an independent and specific domain of capital, is posited by (</w:t>
      </w:r>
      <w:proofErr w:type="spellStart"/>
      <w:r>
        <w:rPr>
          <w:color w:val="0E101A"/>
        </w:rPr>
        <w:t>Ragnedda</w:t>
      </w:r>
      <w:proofErr w:type="spellEnd"/>
      <w:r>
        <w:rPr>
          <w:color w:val="0E101A"/>
        </w:rPr>
        <w:t>, 2018) as ‘the accumulation of digital competencies … and digital technology’</w:t>
      </w:r>
      <w:r w:rsidR="00337611">
        <w:rPr>
          <w:color w:val="0E101A"/>
        </w:rPr>
        <w:t xml:space="preserve"> </w:t>
      </w:r>
      <w:r>
        <w:rPr>
          <w:color w:val="0E101A"/>
        </w:rPr>
        <w:t>(p. 2367). A subsequent empirical study to test the veracity of digital capital as an independent domain identified positive relationships between digital capital and the indicators of digital divide. (</w:t>
      </w:r>
      <w:proofErr w:type="spellStart"/>
      <w:r>
        <w:rPr>
          <w:color w:val="0E101A"/>
        </w:rPr>
        <w:t>Ragnedda</w:t>
      </w:r>
      <w:proofErr w:type="spellEnd"/>
      <w:r>
        <w:rPr>
          <w:color w:val="0E101A"/>
        </w:rPr>
        <w:t xml:space="preserve"> et al., 2019). Of note is the underpinning premise of achievement of first level divide factors. Acknowledged is the relatively advantaged cohort, i.e. access already enabled, and the necessity to repeat the study with less advantaged or culturally diverse cohorts. Applicability of digital capital as a reference or point of consideration for Australian schools will be dependent upon replication and further verification of the study.</w:t>
      </w:r>
    </w:p>
    <w:p w14:paraId="33FB2B6E" w14:textId="77777777" w:rsidR="0068294B" w:rsidRDefault="0068294B" w:rsidP="00337611">
      <w:pPr>
        <w:pStyle w:val="NormalWeb"/>
        <w:spacing w:before="0" w:beforeAutospacing="0" w:after="0" w:afterAutospacing="0"/>
        <w:jc w:val="both"/>
        <w:rPr>
          <w:color w:val="0E101A"/>
        </w:rPr>
      </w:pPr>
    </w:p>
    <w:p w14:paraId="7AC7FACA" w14:textId="77777777" w:rsidR="0068294B" w:rsidRDefault="0068294B" w:rsidP="00337611">
      <w:pPr>
        <w:pStyle w:val="NormalWeb"/>
        <w:spacing w:before="0" w:beforeAutospacing="0" w:after="0" w:afterAutospacing="0"/>
        <w:jc w:val="both"/>
        <w:rPr>
          <w:color w:val="0E101A"/>
        </w:rPr>
      </w:pPr>
      <w:r>
        <w:rPr>
          <w:color w:val="0E101A"/>
        </w:rPr>
        <w:t>Inattention to students’ capital is likely to result in the unrealised potential of both the school’s technology program and the student’s life choices. Irrespective of various representations of digital technology within the domains of capital, it is through consideration of the interrelatedness of social, economic and cultural capital, recognition of the student and family circumstance can be used to inform any program of technology implementation at the school level. Those lacking long term socialisation in the use of a range of technologies have been identified as being more prone to resort to mobile-oriented use (Gomez, 2018), a consequence previously identified as leading to membership of a digital underclass (</w:t>
      </w:r>
      <w:proofErr w:type="spellStart"/>
      <w:r>
        <w:rPr>
          <w:color w:val="0E101A"/>
        </w:rPr>
        <w:t>Helsper</w:t>
      </w:r>
      <w:proofErr w:type="spellEnd"/>
      <w:r>
        <w:rPr>
          <w:color w:val="0E101A"/>
        </w:rPr>
        <w:t xml:space="preserve"> &amp; </w:t>
      </w:r>
      <w:proofErr w:type="spellStart"/>
      <w:r>
        <w:rPr>
          <w:color w:val="0E101A"/>
        </w:rPr>
        <w:t>Reisdorf</w:t>
      </w:r>
      <w:proofErr w:type="spellEnd"/>
      <w:r>
        <w:rPr>
          <w:color w:val="0E101A"/>
        </w:rPr>
        <w:t xml:space="preserve">, 2017; </w:t>
      </w:r>
      <w:proofErr w:type="spellStart"/>
      <w:r>
        <w:rPr>
          <w:color w:val="0E101A"/>
        </w:rPr>
        <w:t>Reisdorf</w:t>
      </w:r>
      <w:proofErr w:type="spellEnd"/>
      <w:r>
        <w:rPr>
          <w:color w:val="0E101A"/>
        </w:rPr>
        <w:t xml:space="preserve"> et al., 2020; Wang &amp; Liu, 2017). Students who were already digitally excluded may become socially excluded as well (</w:t>
      </w:r>
      <w:proofErr w:type="spellStart"/>
      <w:r>
        <w:rPr>
          <w:color w:val="0E101A"/>
        </w:rPr>
        <w:t>Helsper</w:t>
      </w:r>
      <w:proofErr w:type="spellEnd"/>
      <w:r>
        <w:rPr>
          <w:color w:val="0E101A"/>
        </w:rPr>
        <w:t>, 2012). Those afforded access without mediation are constrained in the ability to effectively and meaningfully capitalise on opportunities (Yuen et al., 2018). Design and implementation of any program to increase access to technology must incorporate consideration of economic, cultural and social capital (Bourdieu, 2002).</w:t>
      </w:r>
    </w:p>
    <w:p w14:paraId="64ED2153" w14:textId="45BDF40D" w:rsidR="0068294B" w:rsidRDefault="0068294B" w:rsidP="00337611">
      <w:pPr>
        <w:pStyle w:val="NormalWeb"/>
        <w:spacing w:before="0" w:beforeAutospacing="0" w:after="0" w:afterAutospacing="0"/>
        <w:jc w:val="both"/>
        <w:rPr>
          <w:color w:val="0E101A"/>
        </w:rPr>
      </w:pPr>
    </w:p>
    <w:p w14:paraId="23486F71" w14:textId="77777777" w:rsidR="0068294B" w:rsidRDefault="0068294B" w:rsidP="00337611">
      <w:pPr>
        <w:pStyle w:val="NormalWeb"/>
        <w:spacing w:before="0" w:beforeAutospacing="0" w:after="0" w:afterAutospacing="0"/>
        <w:jc w:val="both"/>
        <w:rPr>
          <w:color w:val="0E101A"/>
        </w:rPr>
      </w:pPr>
    </w:p>
    <w:p w14:paraId="7824566C" w14:textId="2CE7F7ED" w:rsidR="0068294B" w:rsidRDefault="0068294B" w:rsidP="00337611">
      <w:pPr>
        <w:pStyle w:val="NormalWeb"/>
        <w:spacing w:before="0" w:beforeAutospacing="0" w:after="0" w:afterAutospacing="0"/>
        <w:jc w:val="both"/>
        <w:rPr>
          <w:rStyle w:val="Strong"/>
          <w:color w:val="0E101A"/>
        </w:rPr>
      </w:pPr>
      <w:r>
        <w:rPr>
          <w:rStyle w:val="Strong"/>
          <w:color w:val="0E101A"/>
        </w:rPr>
        <w:t>One-to-one models</w:t>
      </w:r>
    </w:p>
    <w:p w14:paraId="5A1F0993" w14:textId="77777777" w:rsidR="0068294B" w:rsidRDefault="0068294B" w:rsidP="00337611">
      <w:pPr>
        <w:pStyle w:val="NormalWeb"/>
        <w:spacing w:before="0" w:beforeAutospacing="0" w:after="0" w:afterAutospacing="0"/>
        <w:jc w:val="both"/>
        <w:rPr>
          <w:color w:val="0E101A"/>
        </w:rPr>
      </w:pPr>
    </w:p>
    <w:p w14:paraId="2514754E" w14:textId="73BF3B5E" w:rsidR="0068294B" w:rsidRDefault="0068294B" w:rsidP="00337611">
      <w:pPr>
        <w:pStyle w:val="NormalWeb"/>
        <w:spacing w:before="0" w:beforeAutospacing="0" w:after="0" w:afterAutospacing="0"/>
        <w:jc w:val="both"/>
        <w:rPr>
          <w:color w:val="0E101A"/>
        </w:rPr>
      </w:pPr>
      <w:r>
        <w:rPr>
          <w:color w:val="0E101A"/>
        </w:rPr>
        <w:t>A one-to-one initiative is typified by enabling all students to have individual access to a computing device (Penuel, 2006). Device type, location or extent of access are not specified, and it is these aspects that result in a diverse range of one-to-one programs and outcomes in schools. BYOD is just one strategy to achieve a one-to-one ratio. As an exit strategy from the national secondary school computer fund (NSSCF), the Digital Education Advisory Group paper presented BYOD wherein the D is a mobile internet-enabled device such as a smartphone (Digital Education Advisory Group, 2012). Some schools elected to maintain the standard set through the NSSCF and specified the type of device, generally a laptop or tablet, while others were more permissive and invited students to bring whatever they owned (Janssen &amp; Phillipson, 2015; Selwyn et al., 2017). Smartphones or mobile phones are banned in many schools; consequently, those schools would be unlikely to accept smart phones as the D in BYOD (Janssen &amp; Phillipson, 2015; Selwyn, 2019).</w:t>
      </w:r>
    </w:p>
    <w:p w14:paraId="0A5585BB" w14:textId="6FAB47D7" w:rsidR="0068294B" w:rsidRDefault="0068294B" w:rsidP="00337611">
      <w:pPr>
        <w:pStyle w:val="NormalWeb"/>
        <w:spacing w:before="0" w:beforeAutospacing="0" w:after="0" w:afterAutospacing="0"/>
        <w:jc w:val="both"/>
        <w:rPr>
          <w:color w:val="0E101A"/>
        </w:rPr>
      </w:pPr>
    </w:p>
    <w:p w14:paraId="18F0088E" w14:textId="77777777" w:rsidR="00337611" w:rsidRDefault="00337611" w:rsidP="00337611">
      <w:pPr>
        <w:pStyle w:val="NormalWeb"/>
        <w:spacing w:before="0" w:beforeAutospacing="0" w:after="0" w:afterAutospacing="0"/>
        <w:jc w:val="both"/>
        <w:rPr>
          <w:color w:val="0E101A"/>
        </w:rPr>
      </w:pPr>
    </w:p>
    <w:p w14:paraId="1CE505C8" w14:textId="0DF7FEB9" w:rsidR="0068294B" w:rsidRDefault="0068294B" w:rsidP="00337611">
      <w:pPr>
        <w:pStyle w:val="NormalWeb"/>
        <w:spacing w:before="0" w:beforeAutospacing="0" w:after="0" w:afterAutospacing="0"/>
        <w:jc w:val="both"/>
        <w:rPr>
          <w:color w:val="0E101A"/>
        </w:rPr>
      </w:pPr>
      <w:r>
        <w:rPr>
          <w:color w:val="0E101A"/>
        </w:rPr>
        <w:lastRenderedPageBreak/>
        <w:t xml:space="preserve">One-to-one laptop initiatives began to proliferate in the 1990s in the US with the intent of addressing the emerging understanding of the digital divide in addition to an expectation of improved student academic achievement, all with varying degrees of success (Argueta et al., 2011). Australia also had a number of schools starting to develop 1:1 </w:t>
      </w:r>
      <w:proofErr w:type="gramStart"/>
      <w:r>
        <w:rPr>
          <w:color w:val="0E101A"/>
        </w:rPr>
        <w:t>programs</w:t>
      </w:r>
      <w:proofErr w:type="gramEnd"/>
      <w:r>
        <w:rPr>
          <w:color w:val="0E101A"/>
        </w:rPr>
        <w:t xml:space="preserve"> at that time widespread (</w:t>
      </w:r>
      <w:proofErr w:type="spellStart"/>
      <w:r>
        <w:rPr>
          <w:color w:val="0E101A"/>
        </w:rPr>
        <w:t>Fluck</w:t>
      </w:r>
      <w:proofErr w:type="spellEnd"/>
      <w:r>
        <w:rPr>
          <w:color w:val="0E101A"/>
        </w:rPr>
        <w:t>, 2011). 1:1 student to computer initiatives are now prevalent in a significant number of secondary schools and are beginning to become more frequent in primary schools. It is likely this situation is replicated across Australia in the wake of the Digital Education Revolution (Digital Education Advisory Group, 2012) as schools endeavoured to maintain the momentum, or meet the perceived community expectation, of a 1:1 program (Janssen &amp; Phillipson, 2015). Many resultant education technology initiatives were manifest as Bring Your Own Device (BYOD) programs (2015). The movement towards BYOD was posited as a positive outcome of the DER National Secondary School Computer Fund and a potential cost saver for schools (Digital Education Advisory Group, 2012) irrespective of the economic capacity of parents to accommodate this cost-shifting proposal (Selwyn, 2019). </w:t>
      </w:r>
    </w:p>
    <w:p w14:paraId="7DF3C3FD" w14:textId="77777777" w:rsidR="0068294B" w:rsidRDefault="0068294B" w:rsidP="00337611">
      <w:pPr>
        <w:pStyle w:val="NormalWeb"/>
        <w:spacing w:before="0" w:beforeAutospacing="0" w:after="0" w:afterAutospacing="0"/>
        <w:jc w:val="both"/>
        <w:rPr>
          <w:color w:val="0E101A"/>
        </w:rPr>
      </w:pPr>
    </w:p>
    <w:p w14:paraId="191B9855" w14:textId="0BB2B760" w:rsidR="0068294B" w:rsidRDefault="0068294B" w:rsidP="00337611">
      <w:pPr>
        <w:pStyle w:val="NormalWeb"/>
        <w:spacing w:before="0" w:beforeAutospacing="0" w:after="0" w:afterAutospacing="0"/>
        <w:jc w:val="both"/>
        <w:rPr>
          <w:color w:val="0E101A"/>
        </w:rPr>
      </w:pPr>
      <w:r>
        <w:rPr>
          <w:color w:val="0E101A"/>
        </w:rPr>
        <w:t>As previously identified in the digital divide research, device type has an impact on the access enabled (</w:t>
      </w:r>
      <w:proofErr w:type="spellStart"/>
      <w:r>
        <w:rPr>
          <w:color w:val="0E101A"/>
        </w:rPr>
        <w:t>Reisdorf</w:t>
      </w:r>
      <w:proofErr w:type="spellEnd"/>
      <w:r>
        <w:rPr>
          <w:color w:val="0E101A"/>
        </w:rPr>
        <w:t xml:space="preserve"> et al., 2020). Autonomy of use is identified as a significant factor in enabling student skill development, specifically where access is ubiquitous and mobile (DiMaggio et al., 2004; </w:t>
      </w:r>
      <w:proofErr w:type="spellStart"/>
      <w:r>
        <w:rPr>
          <w:color w:val="0E101A"/>
        </w:rPr>
        <w:t>Helsper</w:t>
      </w:r>
      <w:proofErr w:type="spellEnd"/>
      <w:r>
        <w:rPr>
          <w:color w:val="0E101A"/>
        </w:rPr>
        <w:t xml:space="preserve">, 2012). Smartphones enable access to the internet however the type and extent of use is not comparable to that afforded by a laptop or desktop computer, thus impacting skill development and achievement of outcomes identified through the second and third levels of the digital divide (Gomez, 2018; </w:t>
      </w:r>
      <w:proofErr w:type="spellStart"/>
      <w:r>
        <w:rPr>
          <w:color w:val="0E101A"/>
        </w:rPr>
        <w:t>Hargittai</w:t>
      </w:r>
      <w:proofErr w:type="spellEnd"/>
      <w:r>
        <w:rPr>
          <w:color w:val="0E101A"/>
        </w:rPr>
        <w:t xml:space="preserve">, 2002; van </w:t>
      </w:r>
      <w:proofErr w:type="spellStart"/>
      <w:r>
        <w:rPr>
          <w:color w:val="0E101A"/>
        </w:rPr>
        <w:t>Deursen</w:t>
      </w:r>
      <w:proofErr w:type="spellEnd"/>
      <w:r>
        <w:rPr>
          <w:color w:val="0E101A"/>
        </w:rPr>
        <w:t xml:space="preserve"> &amp; van Dijk, 2019). Much of the research on one-to-one initiatives identify laptops as the device most prevalent (Crook et al., 2015; </w:t>
      </w:r>
      <w:proofErr w:type="spellStart"/>
      <w:r>
        <w:rPr>
          <w:color w:val="0E101A"/>
        </w:rPr>
        <w:t>Kposowa</w:t>
      </w:r>
      <w:proofErr w:type="spellEnd"/>
      <w:r>
        <w:rPr>
          <w:color w:val="0E101A"/>
        </w:rPr>
        <w:t xml:space="preserve"> &amp; Valdez, 2013; Lowther et al., 2012; Shapley et al., 2011; </w:t>
      </w:r>
      <w:proofErr w:type="spellStart"/>
      <w:r>
        <w:rPr>
          <w:color w:val="0E101A"/>
        </w:rPr>
        <w:t>Warschauer</w:t>
      </w:r>
      <w:proofErr w:type="spellEnd"/>
      <w:r>
        <w:rPr>
          <w:color w:val="0E101A"/>
        </w:rPr>
        <w:t xml:space="preserve"> et al., 2014; Zheng et al., 2016). Laptops were identified as the preferred device as they facilitate access to a range of internet activities and enable autonomy of use as a result of being mobile (</w:t>
      </w:r>
      <w:proofErr w:type="spellStart"/>
      <w:r>
        <w:rPr>
          <w:color w:val="0E101A"/>
        </w:rPr>
        <w:t>Zilka</w:t>
      </w:r>
      <w:proofErr w:type="spellEnd"/>
      <w:r>
        <w:rPr>
          <w:color w:val="0E101A"/>
        </w:rPr>
        <w:t>, 2016). </w:t>
      </w:r>
    </w:p>
    <w:p w14:paraId="62319818" w14:textId="77777777" w:rsidR="0068294B" w:rsidRDefault="0068294B" w:rsidP="00337611">
      <w:pPr>
        <w:pStyle w:val="NormalWeb"/>
        <w:spacing w:before="0" w:beforeAutospacing="0" w:after="0" w:afterAutospacing="0"/>
        <w:jc w:val="both"/>
        <w:rPr>
          <w:color w:val="0E101A"/>
        </w:rPr>
      </w:pPr>
    </w:p>
    <w:p w14:paraId="52AFC414" w14:textId="767658EC" w:rsidR="0068294B" w:rsidRDefault="0068294B" w:rsidP="00337611">
      <w:pPr>
        <w:pStyle w:val="NormalWeb"/>
        <w:spacing w:before="0" w:beforeAutospacing="0" w:after="0" w:afterAutospacing="0"/>
        <w:jc w:val="both"/>
        <w:rPr>
          <w:color w:val="0E101A"/>
        </w:rPr>
      </w:pPr>
      <w:r>
        <w:rPr>
          <w:color w:val="0E101A"/>
        </w:rPr>
        <w:t xml:space="preserve">The purpose of implementing a one-to-one program varies considerably between, schools, systems and countries. A frequently stated intention is; to enhance learning in general as well as contribute to the development of 21st-century skills (Digital Education Advisory Group, 2012). Somewhat counterintuitively however is the volume of research focussed on attainment of traditional academic achievements or behaviours as opposed to 21st-century skills (Adhikari et al., 2017; Crook et al., 2015; Digital Education Advisory Group, 2012; DiMaggio et al., 2004; Dunleavy &amp; </w:t>
      </w:r>
      <w:proofErr w:type="spellStart"/>
      <w:r>
        <w:rPr>
          <w:color w:val="0E101A"/>
        </w:rPr>
        <w:t>Heinecke</w:t>
      </w:r>
      <w:proofErr w:type="spellEnd"/>
      <w:r>
        <w:rPr>
          <w:color w:val="0E101A"/>
        </w:rPr>
        <w:t xml:space="preserve">, 2007; </w:t>
      </w:r>
      <w:proofErr w:type="spellStart"/>
      <w:r>
        <w:rPr>
          <w:color w:val="0E101A"/>
        </w:rPr>
        <w:t>Fraillon</w:t>
      </w:r>
      <w:proofErr w:type="spellEnd"/>
      <w:r>
        <w:rPr>
          <w:color w:val="0E101A"/>
        </w:rPr>
        <w:t xml:space="preserve"> et al., 2019; </w:t>
      </w:r>
      <w:proofErr w:type="spellStart"/>
      <w:r>
        <w:rPr>
          <w:color w:val="0E101A"/>
        </w:rPr>
        <w:t>Fraillon</w:t>
      </w:r>
      <w:proofErr w:type="spellEnd"/>
      <w:r>
        <w:rPr>
          <w:color w:val="0E101A"/>
        </w:rPr>
        <w:t xml:space="preserve"> et al., 2018; Harper &amp; </w:t>
      </w:r>
      <w:proofErr w:type="spellStart"/>
      <w:r>
        <w:rPr>
          <w:color w:val="0E101A"/>
        </w:rPr>
        <w:t>Milman</w:t>
      </w:r>
      <w:proofErr w:type="spellEnd"/>
      <w:r>
        <w:rPr>
          <w:color w:val="0E101A"/>
        </w:rPr>
        <w:t xml:space="preserve">, 2016; Islam &amp; </w:t>
      </w:r>
      <w:proofErr w:type="spellStart"/>
      <w:r>
        <w:rPr>
          <w:color w:val="0E101A"/>
        </w:rPr>
        <w:t>Grönlund</w:t>
      </w:r>
      <w:proofErr w:type="spellEnd"/>
      <w:r>
        <w:rPr>
          <w:color w:val="0E101A"/>
        </w:rPr>
        <w:t xml:space="preserve">, 2016; </w:t>
      </w:r>
      <w:proofErr w:type="spellStart"/>
      <w:r>
        <w:rPr>
          <w:color w:val="0E101A"/>
        </w:rPr>
        <w:t>Kposowa</w:t>
      </w:r>
      <w:proofErr w:type="spellEnd"/>
      <w:r>
        <w:rPr>
          <w:color w:val="0E101A"/>
        </w:rPr>
        <w:t xml:space="preserve"> &amp; Valdez, 2013; Moon &amp; </w:t>
      </w:r>
      <w:proofErr w:type="spellStart"/>
      <w:r>
        <w:rPr>
          <w:color w:val="0E101A"/>
        </w:rPr>
        <w:t>Hofferth</w:t>
      </w:r>
      <w:proofErr w:type="spellEnd"/>
      <w:r>
        <w:rPr>
          <w:color w:val="0E101A"/>
        </w:rPr>
        <w:t xml:space="preserve">, 2018; </w:t>
      </w:r>
      <w:proofErr w:type="spellStart"/>
      <w:r>
        <w:rPr>
          <w:color w:val="0E101A"/>
        </w:rPr>
        <w:t>Warschauer</w:t>
      </w:r>
      <w:proofErr w:type="spellEnd"/>
      <w:r>
        <w:rPr>
          <w:color w:val="0E101A"/>
        </w:rPr>
        <w:t xml:space="preserve"> et al., 2014; Zheng et al., 2016; </w:t>
      </w:r>
      <w:proofErr w:type="spellStart"/>
      <w:r>
        <w:rPr>
          <w:color w:val="0E101A"/>
        </w:rPr>
        <w:t>Zilka</w:t>
      </w:r>
      <w:proofErr w:type="spellEnd"/>
      <w:r>
        <w:rPr>
          <w:color w:val="0E101A"/>
        </w:rPr>
        <w:t xml:space="preserve">, 2016). Research findings in relation to academic achievement are somewhat mixed. There is evidence of improved academic achievement in maths, science, reading and writing; however, it appears to have a dependency on the amount of access enabled and the user experience of the student. There is evidence of a positive relationship between ubiquitous access to a mobile computer over time and indicators of the digital divide when reviewing the impact on academic achievement or internet outcomes (DiMaggio et al., 2004; Dunleavy &amp; </w:t>
      </w:r>
      <w:proofErr w:type="spellStart"/>
      <w:r>
        <w:rPr>
          <w:color w:val="0E101A"/>
        </w:rPr>
        <w:t>Heinecke</w:t>
      </w:r>
      <w:proofErr w:type="spellEnd"/>
      <w:r>
        <w:rPr>
          <w:color w:val="0E101A"/>
        </w:rPr>
        <w:t xml:space="preserve">, 2007; </w:t>
      </w:r>
      <w:proofErr w:type="spellStart"/>
      <w:r>
        <w:rPr>
          <w:color w:val="0E101A"/>
        </w:rPr>
        <w:t>Kposowa</w:t>
      </w:r>
      <w:proofErr w:type="spellEnd"/>
      <w:r>
        <w:rPr>
          <w:color w:val="0E101A"/>
        </w:rPr>
        <w:t xml:space="preserve"> &amp; Valdez, 2013; Moon &amp; </w:t>
      </w:r>
      <w:proofErr w:type="spellStart"/>
      <w:r>
        <w:rPr>
          <w:color w:val="0E101A"/>
        </w:rPr>
        <w:t>Hofferth</w:t>
      </w:r>
      <w:proofErr w:type="spellEnd"/>
      <w:r>
        <w:rPr>
          <w:color w:val="0E101A"/>
        </w:rPr>
        <w:t xml:space="preserve">, 2018; OECD, 2010; Zheng et al., 2016; </w:t>
      </w:r>
      <w:proofErr w:type="spellStart"/>
      <w:r>
        <w:rPr>
          <w:color w:val="0E101A"/>
        </w:rPr>
        <w:t>Zilka</w:t>
      </w:r>
      <w:proofErr w:type="spellEnd"/>
      <w:r>
        <w:rPr>
          <w:color w:val="0E101A"/>
        </w:rPr>
        <w:t>, 2016). One-to-</w:t>
      </w:r>
      <w:r>
        <w:rPr>
          <w:color w:val="0E101A"/>
        </w:rPr>
        <w:lastRenderedPageBreak/>
        <w:t xml:space="preserve">one programs where student access was only available at school demonstrated negligible impact on academic achievement (Lowther et al., 2012; </w:t>
      </w:r>
      <w:proofErr w:type="spellStart"/>
      <w:r>
        <w:rPr>
          <w:color w:val="0E101A"/>
        </w:rPr>
        <w:t>Warschauer</w:t>
      </w:r>
      <w:proofErr w:type="spellEnd"/>
      <w:r>
        <w:rPr>
          <w:color w:val="0E101A"/>
        </w:rPr>
        <w:t xml:space="preserve"> et al., 2014).</w:t>
      </w:r>
    </w:p>
    <w:p w14:paraId="353E5078" w14:textId="77777777" w:rsidR="00337611" w:rsidRDefault="00337611" w:rsidP="00337611">
      <w:pPr>
        <w:pStyle w:val="NormalWeb"/>
        <w:spacing w:before="0" w:beforeAutospacing="0" w:after="0" w:afterAutospacing="0"/>
        <w:jc w:val="both"/>
        <w:rPr>
          <w:color w:val="0E101A"/>
        </w:rPr>
      </w:pPr>
    </w:p>
    <w:p w14:paraId="3C020CE1" w14:textId="77777777" w:rsidR="0068294B" w:rsidRDefault="0068294B" w:rsidP="00337611">
      <w:pPr>
        <w:pStyle w:val="NormalWeb"/>
        <w:spacing w:before="0" w:beforeAutospacing="0" w:after="0" w:afterAutospacing="0"/>
        <w:jc w:val="both"/>
        <w:rPr>
          <w:color w:val="0E101A"/>
        </w:rPr>
      </w:pPr>
      <w:r>
        <w:rPr>
          <w:color w:val="0E101A"/>
        </w:rPr>
        <w:t xml:space="preserve">It is necessary for schools to acknowledge the </w:t>
      </w:r>
      <w:proofErr w:type="spellStart"/>
      <w:r>
        <w:rPr>
          <w:color w:val="0E101A"/>
        </w:rPr>
        <w:t>compoundness</w:t>
      </w:r>
      <w:proofErr w:type="spellEnd"/>
      <w:r>
        <w:rPr>
          <w:color w:val="0E101A"/>
        </w:rPr>
        <w:t xml:space="preserve"> of effect, also noting the impact of length of experience and the potential to positively affect this factor. Cohorts of students who are disadvantaged against the indicators of the digital divide may experience the most benefit from access to technology and the internet at an early age (Moon &amp; </w:t>
      </w:r>
      <w:proofErr w:type="spellStart"/>
      <w:r>
        <w:rPr>
          <w:color w:val="0E101A"/>
        </w:rPr>
        <w:t>Hofferth</w:t>
      </w:r>
      <w:proofErr w:type="spellEnd"/>
      <w:r>
        <w:rPr>
          <w:color w:val="0E101A"/>
        </w:rPr>
        <w:t>, 2018). Children of immigrants afforded home access to internet-enabled computers during their kindergarten years demonstrated improved academic results, catching their peers, within two years. Young students, 8-12, of low socio-economic status, provided with internet-enabled computers, demonstrated improved academic results and technology skills over time (</w:t>
      </w:r>
      <w:proofErr w:type="spellStart"/>
      <w:r>
        <w:rPr>
          <w:color w:val="0E101A"/>
        </w:rPr>
        <w:t>Zilka</w:t>
      </w:r>
      <w:proofErr w:type="spellEnd"/>
      <w:r>
        <w:rPr>
          <w:color w:val="0E101A"/>
        </w:rPr>
        <w:t>, 2016). Increasing access to computers at school through a one-to-one program is unlikely to result in a gain in academic achievement. Enabling students to also use those devices at home is more likely to result in a gain in academic achievement over time. Enabling home use in conjunction with a concerted effort to develop the parental capacity to mediate use, is likely to result in a gain in academic achievement and a move to reducing the digital divide.</w:t>
      </w:r>
    </w:p>
    <w:p w14:paraId="35B4F6DF" w14:textId="28B5949C" w:rsidR="0068294B" w:rsidRDefault="0068294B" w:rsidP="00337611">
      <w:pPr>
        <w:pStyle w:val="NormalWeb"/>
        <w:spacing w:before="0" w:beforeAutospacing="0" w:after="0" w:afterAutospacing="0"/>
        <w:jc w:val="both"/>
        <w:rPr>
          <w:color w:val="0E101A"/>
        </w:rPr>
      </w:pPr>
    </w:p>
    <w:p w14:paraId="5912E688" w14:textId="77777777" w:rsidR="0068294B" w:rsidRDefault="0068294B" w:rsidP="00337611">
      <w:pPr>
        <w:pStyle w:val="NormalWeb"/>
        <w:spacing w:before="0" w:beforeAutospacing="0" w:after="0" w:afterAutospacing="0"/>
        <w:jc w:val="both"/>
        <w:rPr>
          <w:color w:val="0E101A"/>
        </w:rPr>
      </w:pPr>
    </w:p>
    <w:p w14:paraId="7A6F8866" w14:textId="23A4AFBB" w:rsidR="0068294B" w:rsidRDefault="0068294B" w:rsidP="00337611">
      <w:pPr>
        <w:pStyle w:val="NormalWeb"/>
        <w:spacing w:before="0" w:beforeAutospacing="0" w:after="0" w:afterAutospacing="0"/>
        <w:jc w:val="both"/>
        <w:rPr>
          <w:rStyle w:val="Strong"/>
          <w:color w:val="0E101A"/>
        </w:rPr>
      </w:pPr>
      <w:r>
        <w:rPr>
          <w:rStyle w:val="Strong"/>
          <w:color w:val="0E101A"/>
        </w:rPr>
        <w:t>Conclusion</w:t>
      </w:r>
    </w:p>
    <w:p w14:paraId="7FF658B2" w14:textId="77777777" w:rsidR="0068294B" w:rsidRDefault="0068294B" w:rsidP="00337611">
      <w:pPr>
        <w:pStyle w:val="NormalWeb"/>
        <w:spacing w:before="0" w:beforeAutospacing="0" w:after="0" w:afterAutospacing="0"/>
        <w:jc w:val="both"/>
        <w:rPr>
          <w:color w:val="0E101A"/>
        </w:rPr>
      </w:pPr>
    </w:p>
    <w:p w14:paraId="23D0A485" w14:textId="4522E2A5" w:rsidR="0068294B" w:rsidRDefault="0068294B" w:rsidP="00337611">
      <w:pPr>
        <w:pStyle w:val="NormalWeb"/>
        <w:spacing w:before="0" w:beforeAutospacing="0" w:after="0" w:afterAutospacing="0"/>
        <w:jc w:val="both"/>
        <w:rPr>
          <w:color w:val="0E101A"/>
        </w:rPr>
      </w:pPr>
      <w:r>
        <w:rPr>
          <w:color w:val="0E101A"/>
        </w:rPr>
        <w:t>Selwyn (2019) reports general support for the continued use of digital technologies in Australian public schools, supported by government funding. BYO or one-to-one programs appear to be an accepted mode of enabling access to those digital technologies; however, there is some dissonance surrounding financial responsibility for the provision of the devices. The predicted negative financial impact of the Covid-19 pandemic and associated issues with employment are likely to exacerbate the existing socio-economic status of many disadvantaged students. It is within this context that schools will be required to progress digital technology programs, possibly with a view to supporting extended periods of learning at home. Schools wishing to capitalise on the resurgence in enthusiasm for online learning, and create a pandemic-proof learning environment, through the introduction of a one-to-one or BYO program must account for social, economic and cultural capital impacted by an ongoing and unprecedented global pandemic. </w:t>
      </w:r>
    </w:p>
    <w:p w14:paraId="665DBBB7" w14:textId="77777777" w:rsidR="0068294B" w:rsidRDefault="0068294B" w:rsidP="00337611">
      <w:pPr>
        <w:pStyle w:val="NormalWeb"/>
        <w:spacing w:before="0" w:beforeAutospacing="0" w:after="0" w:afterAutospacing="0"/>
        <w:jc w:val="both"/>
        <w:rPr>
          <w:color w:val="0E101A"/>
        </w:rPr>
      </w:pPr>
    </w:p>
    <w:p w14:paraId="164458B6" w14:textId="77777777" w:rsidR="0068294B" w:rsidRDefault="0068294B" w:rsidP="00337611">
      <w:pPr>
        <w:pStyle w:val="NormalWeb"/>
        <w:spacing w:before="0" w:beforeAutospacing="0" w:after="0" w:afterAutospacing="0"/>
        <w:jc w:val="both"/>
        <w:rPr>
          <w:color w:val="0E101A"/>
        </w:rPr>
      </w:pPr>
      <w:r>
        <w:rPr>
          <w:color w:val="0E101A"/>
        </w:rPr>
        <w:t>Mobility, ubiquity and quality of access are three components to consider when planning to facilitate access to digital technologies (</w:t>
      </w:r>
      <w:proofErr w:type="spellStart"/>
      <w:r>
        <w:rPr>
          <w:color w:val="0E101A"/>
        </w:rPr>
        <w:t>Helsper</w:t>
      </w:r>
      <w:proofErr w:type="spellEnd"/>
      <w:r>
        <w:rPr>
          <w:color w:val="0E101A"/>
        </w:rPr>
        <w:t xml:space="preserve">, 2012). The interrelated domains of capital, within a technology frame, have the most significant impact on the student’s ability to participate in a school’s technology program (Bourdieu, 2002; Gomez, 2019; </w:t>
      </w:r>
      <w:proofErr w:type="spellStart"/>
      <w:r>
        <w:rPr>
          <w:color w:val="0E101A"/>
        </w:rPr>
        <w:t>Ragnedda</w:t>
      </w:r>
      <w:proofErr w:type="spellEnd"/>
      <w:r>
        <w:rPr>
          <w:color w:val="0E101A"/>
        </w:rPr>
        <w:t xml:space="preserve">, 2018; Selwyn, 2004). It is these domains of capital, overlaying the three levels of the digital divide framework, with specific attention to the </w:t>
      </w:r>
      <w:proofErr w:type="spellStart"/>
      <w:r>
        <w:rPr>
          <w:color w:val="0E101A"/>
        </w:rPr>
        <w:t>compoundness</w:t>
      </w:r>
      <w:proofErr w:type="spellEnd"/>
      <w:r>
        <w:rPr>
          <w:color w:val="0E101A"/>
        </w:rPr>
        <w:t xml:space="preserve">, </w:t>
      </w:r>
      <w:proofErr w:type="spellStart"/>
      <w:r>
        <w:rPr>
          <w:color w:val="0E101A"/>
        </w:rPr>
        <w:t>sequentiality</w:t>
      </w:r>
      <w:proofErr w:type="spellEnd"/>
      <w:r>
        <w:rPr>
          <w:color w:val="0E101A"/>
        </w:rPr>
        <w:t xml:space="preserve"> and </w:t>
      </w:r>
      <w:proofErr w:type="spellStart"/>
      <w:r>
        <w:rPr>
          <w:color w:val="0E101A"/>
        </w:rPr>
        <w:t>recursiveness</w:t>
      </w:r>
      <w:proofErr w:type="spellEnd"/>
      <w:r>
        <w:rPr>
          <w:color w:val="0E101A"/>
        </w:rPr>
        <w:t xml:space="preserve"> of the framework, that must inform the operational elements of any educational technology program (van </w:t>
      </w:r>
      <w:proofErr w:type="spellStart"/>
      <w:r>
        <w:rPr>
          <w:color w:val="0E101A"/>
        </w:rPr>
        <w:t>Deursen</w:t>
      </w:r>
      <w:proofErr w:type="spellEnd"/>
      <w:r>
        <w:rPr>
          <w:color w:val="0E101A"/>
        </w:rPr>
        <w:t xml:space="preserve"> et al., 2017; van </w:t>
      </w:r>
      <w:proofErr w:type="spellStart"/>
      <w:r>
        <w:rPr>
          <w:color w:val="0E101A"/>
        </w:rPr>
        <w:t>Deursen</w:t>
      </w:r>
      <w:proofErr w:type="spellEnd"/>
      <w:r>
        <w:rPr>
          <w:color w:val="0E101A"/>
        </w:rPr>
        <w:t xml:space="preserve"> &amp; van Dijk, 2019).</w:t>
      </w:r>
    </w:p>
    <w:p w14:paraId="4AD92A46" w14:textId="30665EC3" w:rsidR="002273A7" w:rsidRPr="00235B80" w:rsidRDefault="00EF6085">
      <w:pPr>
        <w:pBdr>
          <w:top w:val="nil"/>
          <w:left w:val="nil"/>
          <w:bottom w:val="nil"/>
          <w:right w:val="nil"/>
          <w:between w:val="nil"/>
        </w:pBdr>
        <w:rPr>
          <w:rFonts w:asciiTheme="minorHAnsi" w:eastAsia="Times New Roman" w:hAnsiTheme="minorHAnsi" w:cs="Times New Roman"/>
        </w:rPr>
      </w:pPr>
      <w:r w:rsidRPr="00235B80">
        <w:rPr>
          <w:rFonts w:asciiTheme="minorHAnsi" w:hAnsiTheme="minorHAnsi"/>
        </w:rPr>
        <w:fldChar w:fldCharType="begin"/>
      </w:r>
      <w:r w:rsidRPr="00235B80">
        <w:rPr>
          <w:rFonts w:asciiTheme="minorHAnsi" w:hAnsiTheme="minorHAnsi"/>
        </w:rPr>
        <w:instrText xml:space="preserve"> HYPERLINK "http://jzagami.info/wordpress/research/girls-computing/" </w:instrText>
      </w:r>
      <w:r w:rsidRPr="00235B80">
        <w:rPr>
          <w:rFonts w:asciiTheme="minorHAnsi" w:hAnsiTheme="minorHAnsi"/>
        </w:rPr>
        <w:fldChar w:fldCharType="separate"/>
      </w:r>
    </w:p>
    <w:p w14:paraId="08378CFC" w14:textId="77777777" w:rsidR="002273A7" w:rsidRPr="00235B80" w:rsidRDefault="00EF6085">
      <w:pPr>
        <w:pBdr>
          <w:top w:val="nil"/>
          <w:left w:val="nil"/>
          <w:bottom w:val="nil"/>
          <w:right w:val="nil"/>
          <w:between w:val="nil"/>
        </w:pBdr>
        <w:spacing w:after="0"/>
        <w:rPr>
          <w:rFonts w:asciiTheme="minorHAnsi" w:eastAsia="Times New Roman" w:hAnsiTheme="minorHAnsi" w:cs="Times New Roman"/>
          <w:b/>
        </w:rPr>
      </w:pPr>
      <w:r w:rsidRPr="00235B80">
        <w:rPr>
          <w:rFonts w:asciiTheme="minorHAnsi" w:hAnsiTheme="minorHAnsi"/>
        </w:rPr>
        <w:lastRenderedPageBreak/>
        <w:fldChar w:fldCharType="end"/>
      </w:r>
      <w:r w:rsidRPr="00235B80">
        <w:rPr>
          <w:rFonts w:asciiTheme="minorHAnsi" w:eastAsia="Times New Roman" w:hAnsiTheme="minorHAnsi" w:cs="Times New Roman"/>
          <w:b/>
        </w:rPr>
        <w:t>References</w:t>
      </w:r>
    </w:p>
    <w:p w14:paraId="562852F2" w14:textId="77777777" w:rsidR="002273A7" w:rsidRDefault="002273A7">
      <w:pPr>
        <w:pBdr>
          <w:top w:val="nil"/>
          <w:left w:val="nil"/>
          <w:bottom w:val="nil"/>
          <w:right w:val="nil"/>
          <w:between w:val="nil"/>
        </w:pBdr>
      </w:pPr>
    </w:p>
    <w:p w14:paraId="47D00426" w14:textId="4E8A5574"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Adhikari, J., </w:t>
      </w:r>
      <w:proofErr w:type="spellStart"/>
      <w:r w:rsidRPr="00235B80">
        <w:rPr>
          <w:rFonts w:ascii="Times New Roman" w:eastAsia="Times New Roman" w:hAnsi="Times New Roman" w:cs="Times New Roman"/>
          <w:color w:val="000000"/>
          <w:lang w:val="en-US"/>
        </w:rPr>
        <w:t>Mathrani</w:t>
      </w:r>
      <w:proofErr w:type="spellEnd"/>
      <w:r w:rsidRPr="00235B80">
        <w:rPr>
          <w:rFonts w:ascii="Times New Roman" w:eastAsia="Times New Roman" w:hAnsi="Times New Roman" w:cs="Times New Roman"/>
          <w:color w:val="000000"/>
          <w:lang w:val="en-US"/>
        </w:rPr>
        <w:t xml:space="preserve">, A., &amp; </w:t>
      </w:r>
      <w:proofErr w:type="spellStart"/>
      <w:r w:rsidRPr="00235B80">
        <w:rPr>
          <w:rFonts w:ascii="Times New Roman" w:eastAsia="Times New Roman" w:hAnsi="Times New Roman" w:cs="Times New Roman"/>
          <w:color w:val="000000"/>
          <w:lang w:val="en-US"/>
        </w:rPr>
        <w:t>Scogings</w:t>
      </w:r>
      <w:proofErr w:type="spellEnd"/>
      <w:r w:rsidRPr="00235B80">
        <w:rPr>
          <w:rFonts w:ascii="Times New Roman" w:eastAsia="Times New Roman" w:hAnsi="Times New Roman" w:cs="Times New Roman"/>
          <w:color w:val="000000"/>
          <w:lang w:val="en-US"/>
        </w:rPr>
        <w:t xml:space="preserve">, C. (2017). A longitudinal journey with </w:t>
      </w:r>
      <w:r w:rsidR="0068294B">
        <w:rPr>
          <w:rFonts w:ascii="Times New Roman" w:eastAsia="Times New Roman" w:hAnsi="Times New Roman" w:cs="Times New Roman"/>
          <w:color w:val="000000"/>
          <w:lang w:val="en-US"/>
        </w:rPr>
        <w:t>BYOD</w:t>
      </w:r>
      <w:r w:rsidRPr="00235B80">
        <w:rPr>
          <w:rFonts w:ascii="Times New Roman" w:eastAsia="Times New Roman" w:hAnsi="Times New Roman" w:cs="Times New Roman"/>
          <w:color w:val="000000"/>
          <w:lang w:val="en-US"/>
        </w:rPr>
        <w:t xml:space="preserve"> classrooms: issues of access, capability and outcome divides. </w:t>
      </w:r>
      <w:r w:rsidRPr="00235B80">
        <w:rPr>
          <w:rFonts w:ascii="Times New Roman" w:eastAsia="Times New Roman" w:hAnsi="Times New Roman" w:cs="Times New Roman"/>
          <w:i/>
          <w:color w:val="000000"/>
          <w:lang w:val="en-US"/>
        </w:rPr>
        <w:t>Australasian Journal of Information Systems, 21</w:t>
      </w:r>
      <w:r w:rsidRPr="00235B80">
        <w:rPr>
          <w:rFonts w:ascii="Times New Roman" w:eastAsia="Times New Roman" w:hAnsi="Times New Roman" w:cs="Times New Roman"/>
          <w:color w:val="000000"/>
          <w:lang w:val="en-US"/>
        </w:rPr>
        <w:t xml:space="preserve">. </w:t>
      </w:r>
      <w:hyperlink r:id="rId7" w:history="1">
        <w:r w:rsidRPr="00235B80">
          <w:rPr>
            <w:rStyle w:val="Hyperlink"/>
            <w:rFonts w:ascii="Times New Roman" w:eastAsia="Times New Roman" w:hAnsi="Times New Roman" w:cs="Times New Roman"/>
            <w:lang w:val="en-US"/>
          </w:rPr>
          <w:t>https://doi.org/DOI</w:t>
        </w:r>
      </w:hyperlink>
      <w:r w:rsidRPr="00235B80">
        <w:rPr>
          <w:rFonts w:ascii="Times New Roman" w:eastAsia="Times New Roman" w:hAnsi="Times New Roman" w:cs="Times New Roman"/>
          <w:color w:val="000000"/>
          <w:lang w:val="en-US"/>
        </w:rPr>
        <w:t>: 10.3127/</w:t>
      </w:r>
      <w:proofErr w:type="gramStart"/>
      <w:r w:rsidRPr="00235B80">
        <w:rPr>
          <w:rFonts w:ascii="Times New Roman" w:eastAsia="Times New Roman" w:hAnsi="Times New Roman" w:cs="Times New Roman"/>
          <w:color w:val="000000"/>
          <w:lang w:val="en-US"/>
        </w:rPr>
        <w:t>ajis.v</w:t>
      </w:r>
      <w:proofErr w:type="gramEnd"/>
      <w:r w:rsidRPr="00235B80">
        <w:rPr>
          <w:rFonts w:ascii="Times New Roman" w:eastAsia="Times New Roman" w:hAnsi="Times New Roman" w:cs="Times New Roman"/>
          <w:color w:val="000000"/>
          <w:lang w:val="en-US"/>
        </w:rPr>
        <w:t xml:space="preserve">21i0.1693 </w:t>
      </w:r>
    </w:p>
    <w:p w14:paraId="123C106E"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54F11A5" w14:textId="5DA9CDF1"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Argueta, R., Huff, J., </w:t>
      </w:r>
      <w:proofErr w:type="spellStart"/>
      <w:r w:rsidRPr="00235B80">
        <w:rPr>
          <w:rFonts w:ascii="Times New Roman" w:eastAsia="Times New Roman" w:hAnsi="Times New Roman" w:cs="Times New Roman"/>
          <w:color w:val="000000"/>
          <w:lang w:val="en-US"/>
        </w:rPr>
        <w:t>Tingen</w:t>
      </w:r>
      <w:proofErr w:type="spellEnd"/>
      <w:r w:rsidRPr="00235B80">
        <w:rPr>
          <w:rFonts w:ascii="Times New Roman" w:eastAsia="Times New Roman" w:hAnsi="Times New Roman" w:cs="Times New Roman"/>
          <w:color w:val="000000"/>
          <w:lang w:val="en-US"/>
        </w:rPr>
        <w:t xml:space="preserve">, J., &amp; Corn, J. (2011). Laptop initiatives: summary of research across </w:t>
      </w:r>
      <w:r w:rsidR="0068294B">
        <w:rPr>
          <w:rFonts w:ascii="Times New Roman" w:eastAsia="Times New Roman" w:hAnsi="Times New Roman" w:cs="Times New Roman"/>
          <w:color w:val="000000"/>
          <w:lang w:val="en-US"/>
        </w:rPr>
        <w:t>seven states</w:t>
      </w:r>
      <w:r w:rsidRPr="00235B80">
        <w:rPr>
          <w:rFonts w:ascii="Times New Roman" w:eastAsia="Times New Roman" w:hAnsi="Times New Roman" w:cs="Times New Roman"/>
          <w:color w:val="000000"/>
          <w:lang w:val="en-US"/>
        </w:rPr>
        <w:t xml:space="preserve">. </w:t>
      </w:r>
      <w:r w:rsidRPr="00235B80">
        <w:rPr>
          <w:rFonts w:ascii="Times New Roman" w:eastAsia="Times New Roman" w:hAnsi="Times New Roman" w:cs="Times New Roman"/>
          <w:i/>
          <w:color w:val="000000"/>
          <w:lang w:val="en-US"/>
        </w:rPr>
        <w:t>Friday Institute for Educational Innovation North Carolina University</w:t>
      </w:r>
      <w:r w:rsidRPr="00235B80">
        <w:rPr>
          <w:rFonts w:ascii="Times New Roman" w:eastAsia="Times New Roman" w:hAnsi="Times New Roman" w:cs="Times New Roman"/>
          <w:color w:val="000000"/>
          <w:lang w:val="en-US"/>
        </w:rPr>
        <w:t xml:space="preserve">. </w:t>
      </w:r>
      <w:hyperlink r:id="rId8" w:history="1">
        <w:r w:rsidRPr="00235B80">
          <w:rPr>
            <w:rStyle w:val="Hyperlink"/>
            <w:rFonts w:ascii="Times New Roman" w:eastAsia="Times New Roman" w:hAnsi="Times New Roman" w:cs="Times New Roman"/>
            <w:lang w:val="en-US"/>
          </w:rPr>
          <w:t>https://www.fi.ncsu.edu/wpcontent/uploads/2013/05/laptop-initiatives-summary-ofresearch-across-seven-states.pdf</w:t>
        </w:r>
      </w:hyperlink>
      <w:r w:rsidRPr="00235B80">
        <w:rPr>
          <w:rFonts w:ascii="Times New Roman" w:eastAsia="Times New Roman" w:hAnsi="Times New Roman" w:cs="Times New Roman"/>
          <w:color w:val="000000"/>
          <w:lang w:val="en-US"/>
        </w:rPr>
        <w:t xml:space="preserve"> </w:t>
      </w:r>
    </w:p>
    <w:p w14:paraId="6564BDEE"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64D74F3E" w14:textId="0A5DA34E"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Australian Bureau of Statistics. (2018). </w:t>
      </w:r>
      <w:r w:rsidRPr="00235B80">
        <w:rPr>
          <w:rFonts w:ascii="Times New Roman" w:eastAsia="Times New Roman" w:hAnsi="Times New Roman" w:cs="Times New Roman"/>
          <w:i/>
          <w:color w:val="000000"/>
          <w:lang w:val="en-US"/>
        </w:rPr>
        <w:t xml:space="preserve">8146.0 - Household use of information technology, </w:t>
      </w:r>
      <w:r w:rsidR="0068294B" w:rsidRPr="00235B80">
        <w:rPr>
          <w:rFonts w:ascii="Times New Roman" w:eastAsia="Times New Roman" w:hAnsi="Times New Roman" w:cs="Times New Roman"/>
          <w:i/>
          <w:color w:val="000000"/>
          <w:lang w:val="en-US"/>
        </w:rPr>
        <w:t>Australia</w:t>
      </w:r>
      <w:r w:rsidRPr="00235B80">
        <w:rPr>
          <w:rFonts w:ascii="Times New Roman" w:eastAsia="Times New Roman" w:hAnsi="Times New Roman" w:cs="Times New Roman"/>
          <w:i/>
          <w:color w:val="000000"/>
          <w:lang w:val="en-US"/>
        </w:rPr>
        <w:t>, 2016-17</w:t>
      </w:r>
      <w:r w:rsidRPr="00235B80">
        <w:rPr>
          <w:rFonts w:ascii="Times New Roman" w:eastAsia="Times New Roman" w:hAnsi="Times New Roman" w:cs="Times New Roman"/>
          <w:color w:val="000000"/>
          <w:lang w:val="en-US"/>
        </w:rPr>
        <w:t xml:space="preserve">. Retrieved 30 May from </w:t>
      </w:r>
      <w:hyperlink r:id="rId9" w:history="1">
        <w:r w:rsidRPr="00235B80">
          <w:rPr>
            <w:rStyle w:val="Hyperlink"/>
            <w:rFonts w:ascii="Times New Roman" w:eastAsia="Times New Roman" w:hAnsi="Times New Roman" w:cs="Times New Roman"/>
            <w:lang w:val="en-US"/>
          </w:rPr>
          <w:t>https://www.abs.gov.au/ausstats/abs@.nsf/0/ACC2D18CC958BC7BCA2568A9001393AE?Opendocument</w:t>
        </w:r>
      </w:hyperlink>
    </w:p>
    <w:p w14:paraId="3307DA10"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F4557CD" w14:textId="31FBA8ED"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Bertram, A., &amp; </w:t>
      </w:r>
      <w:proofErr w:type="spellStart"/>
      <w:r w:rsidRPr="00235B80">
        <w:rPr>
          <w:rFonts w:ascii="Times New Roman" w:eastAsia="Times New Roman" w:hAnsi="Times New Roman" w:cs="Times New Roman"/>
          <w:color w:val="000000"/>
          <w:lang w:val="en-US"/>
        </w:rPr>
        <w:t>Waldrip</w:t>
      </w:r>
      <w:proofErr w:type="spellEnd"/>
      <w:r w:rsidRPr="00235B80">
        <w:rPr>
          <w:rFonts w:ascii="Times New Roman" w:eastAsia="Times New Roman" w:hAnsi="Times New Roman" w:cs="Times New Roman"/>
          <w:color w:val="000000"/>
          <w:lang w:val="en-US"/>
        </w:rPr>
        <w:t>, B. (2013). I</w:t>
      </w:r>
      <w:r w:rsidR="0068294B">
        <w:rPr>
          <w:rFonts w:ascii="Times New Roman" w:eastAsia="Times New Roman" w:hAnsi="Times New Roman" w:cs="Times New Roman"/>
          <w:color w:val="000000"/>
          <w:lang w:val="en-US"/>
        </w:rPr>
        <w:t>CT</w:t>
      </w:r>
      <w:r w:rsidRPr="00235B80">
        <w:rPr>
          <w:rFonts w:ascii="Times New Roman" w:eastAsia="Times New Roman" w:hAnsi="Times New Roman" w:cs="Times New Roman"/>
          <w:color w:val="000000"/>
          <w:lang w:val="en-US"/>
        </w:rPr>
        <w:t xml:space="preserve"> for </w:t>
      </w:r>
      <w:r w:rsidR="0068294B">
        <w:rPr>
          <w:rFonts w:ascii="Times New Roman" w:eastAsia="Times New Roman" w:hAnsi="Times New Roman" w:cs="Times New Roman"/>
          <w:color w:val="000000"/>
          <w:lang w:val="en-US"/>
        </w:rPr>
        <w:t>ICT</w:t>
      </w:r>
      <w:r w:rsidRPr="00235B80">
        <w:rPr>
          <w:rFonts w:ascii="Times New Roman" w:eastAsia="Times New Roman" w:hAnsi="Times New Roman" w:cs="Times New Roman"/>
          <w:color w:val="000000"/>
          <w:lang w:val="en-US"/>
        </w:rPr>
        <w:t>’s sake: secondary teachers’ views on technology as a tool fo</w:t>
      </w:r>
      <w:r w:rsidR="0068294B">
        <w:rPr>
          <w:rFonts w:ascii="Times New Roman" w:eastAsia="Times New Roman" w:hAnsi="Times New Roman" w:cs="Times New Roman"/>
          <w:color w:val="000000"/>
          <w:lang w:val="en-US"/>
        </w:rPr>
        <w:t>r</w:t>
      </w:r>
      <w:r w:rsidRPr="00235B80">
        <w:rPr>
          <w:rFonts w:ascii="Times New Roman" w:eastAsia="Times New Roman" w:hAnsi="Times New Roman" w:cs="Times New Roman"/>
          <w:color w:val="000000"/>
          <w:lang w:val="en-US"/>
        </w:rPr>
        <w:t xml:space="preserve"> teaching and learning. </w:t>
      </w:r>
      <w:r w:rsidRPr="00235B80">
        <w:rPr>
          <w:rFonts w:ascii="Times New Roman" w:eastAsia="Times New Roman" w:hAnsi="Times New Roman" w:cs="Times New Roman"/>
          <w:i/>
          <w:color w:val="000000"/>
          <w:lang w:val="en-US"/>
        </w:rPr>
        <w:t>Australian Educational Computing, 28</w:t>
      </w:r>
      <w:r w:rsidRPr="00235B80">
        <w:rPr>
          <w:rFonts w:ascii="Times New Roman" w:eastAsia="Times New Roman" w:hAnsi="Times New Roman" w:cs="Times New Roman"/>
          <w:color w:val="000000"/>
          <w:lang w:val="en-US"/>
        </w:rPr>
        <w:t xml:space="preserve">(1). </w:t>
      </w:r>
      <w:hyperlink r:id="rId10" w:history="1">
        <w:r w:rsidRPr="00235B80">
          <w:rPr>
            <w:rStyle w:val="Hyperlink"/>
            <w:rFonts w:ascii="Times New Roman" w:eastAsia="Times New Roman" w:hAnsi="Times New Roman" w:cs="Times New Roman"/>
            <w:lang w:val="en-US"/>
          </w:rPr>
          <w:t>http://journal.acce.edu.au/index.php/AEC/article/view/9</w:t>
        </w:r>
      </w:hyperlink>
      <w:r w:rsidRPr="00235B80">
        <w:rPr>
          <w:rFonts w:ascii="Times New Roman" w:eastAsia="Times New Roman" w:hAnsi="Times New Roman" w:cs="Times New Roman"/>
          <w:color w:val="000000"/>
          <w:lang w:val="en-US"/>
        </w:rPr>
        <w:t xml:space="preserve"> </w:t>
      </w:r>
    </w:p>
    <w:p w14:paraId="324631F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9F75FB7"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Bourdieu, P. (2002). The forms of capital. In N. W. </w:t>
      </w:r>
      <w:proofErr w:type="spellStart"/>
      <w:r w:rsidRPr="00235B80">
        <w:rPr>
          <w:rFonts w:ascii="Times New Roman" w:eastAsia="Times New Roman" w:hAnsi="Times New Roman" w:cs="Times New Roman"/>
          <w:color w:val="000000"/>
          <w:lang w:val="en-US"/>
        </w:rPr>
        <w:t>Biggart</w:t>
      </w:r>
      <w:proofErr w:type="spellEnd"/>
      <w:r w:rsidRPr="00235B80">
        <w:rPr>
          <w:rFonts w:ascii="Times New Roman" w:eastAsia="Times New Roman" w:hAnsi="Times New Roman" w:cs="Times New Roman"/>
          <w:color w:val="000000"/>
          <w:lang w:val="en-US"/>
        </w:rPr>
        <w:t xml:space="preserve"> (Ed.), </w:t>
      </w:r>
      <w:r w:rsidRPr="00235B80">
        <w:rPr>
          <w:rFonts w:ascii="Times New Roman" w:eastAsia="Times New Roman" w:hAnsi="Times New Roman" w:cs="Times New Roman"/>
          <w:i/>
          <w:color w:val="000000"/>
          <w:lang w:val="en-US"/>
        </w:rPr>
        <w:t>Readings in economic sociology</w:t>
      </w:r>
      <w:r w:rsidRPr="00235B80">
        <w:rPr>
          <w:rFonts w:ascii="Times New Roman" w:eastAsia="Times New Roman" w:hAnsi="Times New Roman" w:cs="Times New Roman"/>
          <w:color w:val="000000"/>
          <w:lang w:val="en-US"/>
        </w:rPr>
        <w:t xml:space="preserve"> (pp. 280-291). Blackwell Publishers. </w:t>
      </w:r>
    </w:p>
    <w:p w14:paraId="321FD5E9"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0A5E0ABD" w14:textId="2481A0C1"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Camerini</w:t>
      </w:r>
      <w:proofErr w:type="spellEnd"/>
      <w:r w:rsidRPr="00235B80">
        <w:rPr>
          <w:rFonts w:ascii="Times New Roman" w:eastAsia="Times New Roman" w:hAnsi="Times New Roman" w:cs="Times New Roman"/>
          <w:color w:val="000000"/>
          <w:lang w:val="en-US"/>
        </w:rPr>
        <w:t xml:space="preserve">, A. L., Schulz, P. J., &amp; </w:t>
      </w:r>
      <w:proofErr w:type="spellStart"/>
      <w:r w:rsidRPr="00235B80">
        <w:rPr>
          <w:rFonts w:ascii="Times New Roman" w:eastAsia="Times New Roman" w:hAnsi="Times New Roman" w:cs="Times New Roman"/>
          <w:color w:val="000000"/>
          <w:lang w:val="en-US"/>
        </w:rPr>
        <w:t>Jeannet</w:t>
      </w:r>
      <w:proofErr w:type="spellEnd"/>
      <w:r w:rsidRPr="00235B80">
        <w:rPr>
          <w:rFonts w:ascii="Times New Roman" w:eastAsia="Times New Roman" w:hAnsi="Times New Roman" w:cs="Times New Roman"/>
          <w:color w:val="000000"/>
          <w:lang w:val="en-US"/>
        </w:rPr>
        <w:t xml:space="preserve">, A. M. (2018). The social inequalities of internet access, its use, and the impact on children’s academic performance: evidence from a longitudinal study in </w:t>
      </w:r>
      <w:r w:rsidR="0068294B" w:rsidRPr="00235B80">
        <w:rPr>
          <w:rFonts w:ascii="Times New Roman" w:eastAsia="Times New Roman" w:hAnsi="Times New Roman" w:cs="Times New Roman"/>
          <w:color w:val="000000"/>
          <w:lang w:val="en-US"/>
        </w:rPr>
        <w:t>Switzerland</w:t>
      </w:r>
      <w:r w:rsidRPr="00235B80">
        <w:rPr>
          <w:rFonts w:ascii="Times New Roman" w:eastAsia="Times New Roman" w:hAnsi="Times New Roman" w:cs="Times New Roman"/>
          <w:color w:val="000000"/>
          <w:lang w:val="en-US"/>
        </w:rPr>
        <w:t xml:space="preserve">. </w:t>
      </w:r>
      <w:r w:rsidRPr="00235B80">
        <w:rPr>
          <w:rFonts w:ascii="Times New Roman" w:eastAsia="Times New Roman" w:hAnsi="Times New Roman" w:cs="Times New Roman"/>
          <w:i/>
          <w:color w:val="000000"/>
          <w:lang w:val="en-US"/>
        </w:rPr>
        <w:t>new media &amp; society, 20</w:t>
      </w:r>
      <w:r w:rsidRPr="00235B80">
        <w:rPr>
          <w:rFonts w:ascii="Times New Roman" w:eastAsia="Times New Roman" w:hAnsi="Times New Roman" w:cs="Times New Roman"/>
          <w:color w:val="000000"/>
          <w:lang w:val="en-US"/>
        </w:rPr>
        <w:t xml:space="preserve">(7), 2489-2508. </w:t>
      </w:r>
      <w:hyperlink r:id="rId11" w:history="1">
        <w:r w:rsidRPr="00235B80">
          <w:rPr>
            <w:rStyle w:val="Hyperlink"/>
            <w:rFonts w:ascii="Times New Roman" w:eastAsia="Times New Roman" w:hAnsi="Times New Roman" w:cs="Times New Roman"/>
            <w:lang w:val="en-US"/>
          </w:rPr>
          <w:t>https://doi.org/https://doi.org/10.1177/1461444817725918</w:t>
        </w:r>
      </w:hyperlink>
      <w:r w:rsidRPr="00235B80">
        <w:rPr>
          <w:rFonts w:ascii="Times New Roman" w:eastAsia="Times New Roman" w:hAnsi="Times New Roman" w:cs="Times New Roman"/>
          <w:color w:val="000000"/>
          <w:lang w:val="en-US"/>
        </w:rPr>
        <w:t xml:space="preserve"> </w:t>
      </w:r>
    </w:p>
    <w:p w14:paraId="54CEA5E3"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16BEDC4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Crook, S. J., Sharma, M. D., &amp; Wilson, R. (2015). An evaluation of the impact of 1:1 </w:t>
      </w:r>
      <w:proofErr w:type="gramStart"/>
      <w:r w:rsidRPr="00235B80">
        <w:rPr>
          <w:rFonts w:ascii="Times New Roman" w:eastAsia="Times New Roman" w:hAnsi="Times New Roman" w:cs="Times New Roman"/>
          <w:color w:val="000000"/>
          <w:lang w:val="en-US"/>
        </w:rPr>
        <w:t>laptops</w:t>
      </w:r>
      <w:proofErr w:type="gramEnd"/>
      <w:r w:rsidRPr="00235B80">
        <w:rPr>
          <w:rFonts w:ascii="Times New Roman" w:eastAsia="Times New Roman" w:hAnsi="Times New Roman" w:cs="Times New Roman"/>
          <w:color w:val="000000"/>
          <w:lang w:val="en-US"/>
        </w:rPr>
        <w:t xml:space="preserve"> on student attainment in senior high school sciences. </w:t>
      </w:r>
      <w:r w:rsidRPr="00235B80">
        <w:rPr>
          <w:rFonts w:ascii="Times New Roman" w:eastAsia="Times New Roman" w:hAnsi="Times New Roman" w:cs="Times New Roman"/>
          <w:i/>
          <w:color w:val="000000"/>
          <w:lang w:val="en-US"/>
        </w:rPr>
        <w:t>International Journal of Science Education, 37</w:t>
      </w:r>
      <w:r w:rsidRPr="00235B80">
        <w:rPr>
          <w:rFonts w:ascii="Times New Roman" w:eastAsia="Times New Roman" w:hAnsi="Times New Roman" w:cs="Times New Roman"/>
          <w:color w:val="000000"/>
          <w:lang w:val="en-US"/>
        </w:rPr>
        <w:t xml:space="preserve">(2), 272-293. </w:t>
      </w:r>
      <w:hyperlink r:id="rId12" w:history="1">
        <w:r w:rsidRPr="00235B80">
          <w:rPr>
            <w:rStyle w:val="Hyperlink"/>
            <w:rFonts w:ascii="Times New Roman" w:eastAsia="Times New Roman" w:hAnsi="Times New Roman" w:cs="Times New Roman"/>
            <w:lang w:val="en-US"/>
          </w:rPr>
          <w:t>https://doi.org/10.1080/09500693.2014.982229</w:t>
        </w:r>
      </w:hyperlink>
      <w:r w:rsidRPr="00235B80">
        <w:rPr>
          <w:rFonts w:ascii="Times New Roman" w:eastAsia="Times New Roman" w:hAnsi="Times New Roman" w:cs="Times New Roman"/>
          <w:color w:val="000000"/>
          <w:lang w:val="en-US"/>
        </w:rPr>
        <w:t xml:space="preserve"> </w:t>
      </w:r>
    </w:p>
    <w:p w14:paraId="3314FEA3"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7797633" w14:textId="3CD0F23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Digital Education Advisory Group. (2012). </w:t>
      </w:r>
      <w:r w:rsidRPr="00235B80">
        <w:rPr>
          <w:rFonts w:ascii="Times New Roman" w:eastAsia="Times New Roman" w:hAnsi="Times New Roman" w:cs="Times New Roman"/>
          <w:i/>
          <w:color w:val="000000"/>
          <w:lang w:val="en-US"/>
        </w:rPr>
        <w:t xml:space="preserve">Beyond the classroom: a new digital education for young </w:t>
      </w:r>
      <w:r w:rsidR="0068294B" w:rsidRPr="00235B80">
        <w:rPr>
          <w:rFonts w:ascii="Times New Roman" w:eastAsia="Times New Roman" w:hAnsi="Times New Roman" w:cs="Times New Roman"/>
          <w:i/>
          <w:color w:val="000000"/>
          <w:lang w:val="en-US"/>
        </w:rPr>
        <w:t>Australians</w:t>
      </w:r>
      <w:r w:rsidRPr="00235B80">
        <w:rPr>
          <w:rFonts w:ascii="Times New Roman" w:eastAsia="Times New Roman" w:hAnsi="Times New Roman" w:cs="Times New Roman"/>
          <w:i/>
          <w:color w:val="000000"/>
          <w:lang w:val="en-US"/>
        </w:rPr>
        <w:t xml:space="preserve"> in the 21st century</w:t>
      </w:r>
      <w:r w:rsidRPr="00235B80">
        <w:rPr>
          <w:rFonts w:ascii="Times New Roman" w:eastAsia="Times New Roman" w:hAnsi="Times New Roman" w:cs="Times New Roman"/>
          <w:color w:val="000000"/>
          <w:lang w:val="en-US"/>
        </w:rPr>
        <w:t xml:space="preserve">. Australian Department of Education and Employment. </w:t>
      </w:r>
      <w:hyperlink r:id="rId13" w:history="1">
        <w:r w:rsidRPr="00235B80">
          <w:rPr>
            <w:rStyle w:val="Hyperlink"/>
            <w:rFonts w:ascii="Times New Roman" w:eastAsia="Times New Roman" w:hAnsi="Times New Roman" w:cs="Times New Roman"/>
            <w:lang w:val="en-US"/>
          </w:rPr>
          <w:t>https://docs.education.gov.au/system/files/doc/other/deag_final_report.pdf</w:t>
        </w:r>
      </w:hyperlink>
    </w:p>
    <w:p w14:paraId="19B86B3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52F57A37"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DiMaggio, P., </w:t>
      </w:r>
      <w:proofErr w:type="spellStart"/>
      <w:r w:rsidRPr="00235B80">
        <w:rPr>
          <w:rFonts w:ascii="Times New Roman" w:eastAsia="Times New Roman" w:hAnsi="Times New Roman" w:cs="Times New Roman"/>
          <w:color w:val="000000"/>
          <w:lang w:val="en-US"/>
        </w:rPr>
        <w:t>Hargittai</w:t>
      </w:r>
      <w:proofErr w:type="spellEnd"/>
      <w:r w:rsidRPr="00235B80">
        <w:rPr>
          <w:rFonts w:ascii="Times New Roman" w:eastAsia="Times New Roman" w:hAnsi="Times New Roman" w:cs="Times New Roman"/>
          <w:color w:val="000000"/>
          <w:lang w:val="en-US"/>
        </w:rPr>
        <w:t xml:space="preserve">, E., Celeste, C., &amp; Shafer, S. (2004). Digital inequality: from unequal access to differentiated use. In </w:t>
      </w:r>
      <w:r w:rsidRPr="00235B80">
        <w:rPr>
          <w:rFonts w:ascii="Times New Roman" w:eastAsia="Times New Roman" w:hAnsi="Times New Roman" w:cs="Times New Roman"/>
          <w:i/>
          <w:color w:val="000000"/>
          <w:lang w:val="en-US"/>
        </w:rPr>
        <w:t>Social Inequality</w:t>
      </w:r>
      <w:r w:rsidRPr="00235B80">
        <w:rPr>
          <w:rFonts w:ascii="Times New Roman" w:eastAsia="Times New Roman" w:hAnsi="Times New Roman" w:cs="Times New Roman"/>
          <w:color w:val="000000"/>
          <w:lang w:val="en-US"/>
        </w:rPr>
        <w:t xml:space="preserve"> (pp. 355-400). Russell Sage Foundation. </w:t>
      </w:r>
    </w:p>
    <w:p w14:paraId="2E5E5F08" w14:textId="4B84F665" w:rsid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6ED4D1E" w14:textId="18B45C3B" w:rsidR="00337611" w:rsidRDefault="00337611"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5A42FF3A" w14:textId="77777777" w:rsidR="00337611" w:rsidRPr="00235B80" w:rsidRDefault="00337611"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7570819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lastRenderedPageBreak/>
        <w:t xml:space="preserve">Dolan, J. E. (2016). Splicing the Divide: A Review of Research on the Evolving Digital Divide Among K–12 Students. </w:t>
      </w:r>
      <w:r w:rsidRPr="00235B80">
        <w:rPr>
          <w:rFonts w:ascii="Times New Roman" w:eastAsia="Times New Roman" w:hAnsi="Times New Roman" w:cs="Times New Roman"/>
          <w:i/>
          <w:color w:val="000000"/>
          <w:lang w:val="en-US"/>
        </w:rPr>
        <w:t>Journal of Research on Technology in Education, 48</w:t>
      </w:r>
      <w:r w:rsidRPr="00235B80">
        <w:rPr>
          <w:rFonts w:ascii="Times New Roman" w:eastAsia="Times New Roman" w:hAnsi="Times New Roman" w:cs="Times New Roman"/>
          <w:color w:val="000000"/>
          <w:lang w:val="en-US"/>
        </w:rPr>
        <w:t xml:space="preserve">(1), 16-37. </w:t>
      </w:r>
      <w:hyperlink r:id="rId14" w:history="1">
        <w:r w:rsidRPr="00235B80">
          <w:rPr>
            <w:rStyle w:val="Hyperlink"/>
            <w:rFonts w:ascii="Times New Roman" w:eastAsia="Times New Roman" w:hAnsi="Times New Roman" w:cs="Times New Roman"/>
            <w:lang w:val="en-US"/>
          </w:rPr>
          <w:t>https://doi.org/https://doi.org/10.1080/15391523.2015.1103147</w:t>
        </w:r>
      </w:hyperlink>
      <w:r w:rsidRPr="00235B80">
        <w:rPr>
          <w:rFonts w:ascii="Times New Roman" w:eastAsia="Times New Roman" w:hAnsi="Times New Roman" w:cs="Times New Roman"/>
          <w:color w:val="000000"/>
          <w:lang w:val="en-US"/>
        </w:rPr>
        <w:t xml:space="preserve"> </w:t>
      </w:r>
    </w:p>
    <w:p w14:paraId="78281C80"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5DA3F94" w14:textId="1D7F46E1"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Duffy, C. (2020). </w:t>
      </w:r>
      <w:r w:rsidRPr="00235B80">
        <w:rPr>
          <w:rFonts w:ascii="Times New Roman" w:eastAsia="Times New Roman" w:hAnsi="Times New Roman" w:cs="Times New Roman"/>
          <w:i/>
          <w:color w:val="000000"/>
          <w:lang w:val="en-US"/>
        </w:rPr>
        <w:t>Eight big issues for vulnerable students highlighted by coronavirus cri</w:t>
      </w:r>
      <w:r w:rsidR="0068294B">
        <w:rPr>
          <w:rFonts w:ascii="Times New Roman" w:eastAsia="Times New Roman" w:hAnsi="Times New Roman" w:cs="Times New Roman"/>
          <w:i/>
          <w:color w:val="000000"/>
          <w:lang w:val="en-US"/>
        </w:rPr>
        <w:t>s</w:t>
      </w:r>
      <w:r w:rsidRPr="00235B80">
        <w:rPr>
          <w:rFonts w:ascii="Times New Roman" w:eastAsia="Times New Roman" w:hAnsi="Times New Roman" w:cs="Times New Roman"/>
          <w:i/>
          <w:color w:val="000000"/>
          <w:lang w:val="en-US"/>
        </w:rPr>
        <w:t>is, charity says</w:t>
      </w:r>
      <w:r w:rsidRPr="00235B80">
        <w:rPr>
          <w:rFonts w:ascii="Times New Roman" w:eastAsia="Times New Roman" w:hAnsi="Times New Roman" w:cs="Times New Roman"/>
          <w:color w:val="000000"/>
          <w:lang w:val="en-US"/>
        </w:rPr>
        <w:t xml:space="preserve">. ABC News. Retrieved 25 May from </w:t>
      </w:r>
      <w:hyperlink r:id="rId15" w:history="1">
        <w:r w:rsidRPr="00235B80">
          <w:rPr>
            <w:rStyle w:val="Hyperlink"/>
            <w:rFonts w:ascii="Times New Roman" w:eastAsia="Times New Roman" w:hAnsi="Times New Roman" w:cs="Times New Roman"/>
            <w:lang w:val="en-US"/>
          </w:rPr>
          <w:t>https://www.abc.net.au/news/2020-05-25/coronavirus-students-back-to-school-education-digital-divide/12273772</w:t>
        </w:r>
      </w:hyperlink>
    </w:p>
    <w:p w14:paraId="10C5EBF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13F9CBA8"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Dunleavy, M., &amp; </w:t>
      </w:r>
      <w:proofErr w:type="spellStart"/>
      <w:r w:rsidRPr="00235B80">
        <w:rPr>
          <w:rFonts w:ascii="Times New Roman" w:eastAsia="Times New Roman" w:hAnsi="Times New Roman" w:cs="Times New Roman"/>
          <w:color w:val="000000"/>
          <w:lang w:val="en-US"/>
        </w:rPr>
        <w:t>Heinecke</w:t>
      </w:r>
      <w:proofErr w:type="spellEnd"/>
      <w:r w:rsidRPr="00235B80">
        <w:rPr>
          <w:rFonts w:ascii="Times New Roman" w:eastAsia="Times New Roman" w:hAnsi="Times New Roman" w:cs="Times New Roman"/>
          <w:color w:val="000000"/>
          <w:lang w:val="en-US"/>
        </w:rPr>
        <w:t xml:space="preserve">, W. F. (2007). The impact of 1:1 laptop use on middle school math and science standardized test scores. </w:t>
      </w:r>
      <w:r w:rsidRPr="00235B80">
        <w:rPr>
          <w:rFonts w:ascii="Times New Roman" w:eastAsia="Times New Roman" w:hAnsi="Times New Roman" w:cs="Times New Roman"/>
          <w:i/>
          <w:color w:val="000000"/>
          <w:lang w:val="en-US"/>
        </w:rPr>
        <w:t>Computers in the Schools, 24</w:t>
      </w:r>
      <w:r w:rsidRPr="00235B80">
        <w:rPr>
          <w:rFonts w:ascii="Times New Roman" w:eastAsia="Times New Roman" w:hAnsi="Times New Roman" w:cs="Times New Roman"/>
          <w:color w:val="000000"/>
          <w:lang w:val="en-US"/>
        </w:rPr>
        <w:t xml:space="preserve">(3-4), 7-22. </w:t>
      </w:r>
      <w:hyperlink r:id="rId16" w:history="1">
        <w:r w:rsidRPr="00235B80">
          <w:rPr>
            <w:rStyle w:val="Hyperlink"/>
            <w:rFonts w:ascii="Times New Roman" w:eastAsia="Times New Roman" w:hAnsi="Times New Roman" w:cs="Times New Roman"/>
            <w:lang w:val="en-US"/>
          </w:rPr>
          <w:t>https://doi.org/https://doi.org/10.1300/J025v24n03_02</w:t>
        </w:r>
      </w:hyperlink>
      <w:r w:rsidRPr="00235B80">
        <w:rPr>
          <w:rFonts w:ascii="Times New Roman" w:eastAsia="Times New Roman" w:hAnsi="Times New Roman" w:cs="Times New Roman"/>
          <w:color w:val="000000"/>
          <w:lang w:val="en-US"/>
        </w:rPr>
        <w:t xml:space="preserve"> </w:t>
      </w:r>
    </w:p>
    <w:p w14:paraId="7106A19A"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6728C47"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Fluck</w:t>
      </w:r>
      <w:proofErr w:type="spellEnd"/>
      <w:r w:rsidRPr="00235B80">
        <w:rPr>
          <w:rFonts w:ascii="Times New Roman" w:eastAsia="Times New Roman" w:hAnsi="Times New Roman" w:cs="Times New Roman"/>
          <w:color w:val="000000"/>
          <w:lang w:val="en-US"/>
        </w:rPr>
        <w:t xml:space="preserve">, A. E. (2011). Laptop Classes in Some Australian Government Primary Schools. </w:t>
      </w:r>
      <w:r w:rsidRPr="00235B80">
        <w:rPr>
          <w:rFonts w:ascii="Times New Roman" w:eastAsia="Times New Roman" w:hAnsi="Times New Roman" w:cs="Times New Roman"/>
          <w:i/>
          <w:color w:val="000000"/>
          <w:lang w:val="en-US"/>
        </w:rPr>
        <w:t>Australian Educational Computing, 26</w:t>
      </w:r>
      <w:r w:rsidRPr="00235B80">
        <w:rPr>
          <w:rFonts w:ascii="Times New Roman" w:eastAsia="Times New Roman" w:hAnsi="Times New Roman" w:cs="Times New Roman"/>
          <w:color w:val="000000"/>
          <w:lang w:val="en-US"/>
        </w:rPr>
        <w:t xml:space="preserve">(1), 10-15. </w:t>
      </w:r>
      <w:hyperlink r:id="rId17" w:anchor="elf_l1_Lw" w:history="1">
        <w:r w:rsidRPr="00235B80">
          <w:rPr>
            <w:rStyle w:val="Hyperlink"/>
            <w:rFonts w:ascii="Times New Roman" w:eastAsia="Times New Roman" w:hAnsi="Times New Roman" w:cs="Times New Roman"/>
            <w:lang w:val="en-US"/>
          </w:rPr>
          <w:t>https://acce.edu.au/past-issues/#elf_l1_Lw</w:t>
        </w:r>
      </w:hyperlink>
      <w:r w:rsidRPr="00235B80">
        <w:rPr>
          <w:rFonts w:ascii="Times New Roman" w:eastAsia="Times New Roman" w:hAnsi="Times New Roman" w:cs="Times New Roman"/>
          <w:color w:val="000000"/>
          <w:lang w:val="en-US"/>
        </w:rPr>
        <w:t xml:space="preserve"> </w:t>
      </w:r>
    </w:p>
    <w:p w14:paraId="137C5909"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4706E8F"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Fraillon</w:t>
      </w:r>
      <w:proofErr w:type="spellEnd"/>
      <w:r w:rsidRPr="00235B80">
        <w:rPr>
          <w:rFonts w:ascii="Times New Roman" w:eastAsia="Times New Roman" w:hAnsi="Times New Roman" w:cs="Times New Roman"/>
          <w:color w:val="000000"/>
          <w:lang w:val="en-US"/>
        </w:rPr>
        <w:t xml:space="preserve">, J., </w:t>
      </w:r>
      <w:proofErr w:type="spellStart"/>
      <w:r w:rsidRPr="00235B80">
        <w:rPr>
          <w:rFonts w:ascii="Times New Roman" w:eastAsia="Times New Roman" w:hAnsi="Times New Roman" w:cs="Times New Roman"/>
          <w:color w:val="000000"/>
          <w:lang w:val="en-US"/>
        </w:rPr>
        <w:t>Ainley</w:t>
      </w:r>
      <w:proofErr w:type="spellEnd"/>
      <w:r w:rsidRPr="00235B80">
        <w:rPr>
          <w:rFonts w:ascii="Times New Roman" w:eastAsia="Times New Roman" w:hAnsi="Times New Roman" w:cs="Times New Roman"/>
          <w:color w:val="000000"/>
          <w:lang w:val="en-US"/>
        </w:rPr>
        <w:t xml:space="preserve">, J., Schulz, W., Friedman, T., &amp; Duckworth, D. (2019). </w:t>
      </w:r>
      <w:r w:rsidRPr="00235B80">
        <w:rPr>
          <w:rFonts w:ascii="Times New Roman" w:eastAsia="Times New Roman" w:hAnsi="Times New Roman" w:cs="Times New Roman"/>
          <w:i/>
          <w:color w:val="000000"/>
          <w:lang w:val="en-US"/>
        </w:rPr>
        <w:t>Preparing for life in a digital world: the IEA international computer and information literacy study 2018 international report</w:t>
      </w:r>
      <w:r w:rsidRPr="00235B80">
        <w:rPr>
          <w:rFonts w:ascii="Times New Roman" w:eastAsia="Times New Roman" w:hAnsi="Times New Roman" w:cs="Times New Roman"/>
          <w:color w:val="000000"/>
          <w:lang w:val="en-US"/>
        </w:rPr>
        <w:t xml:space="preserve">. International Association for the Evaluation of Educational Achievement. </w:t>
      </w:r>
      <w:hyperlink r:id="rId18" w:history="1">
        <w:r w:rsidRPr="00235B80">
          <w:rPr>
            <w:rStyle w:val="Hyperlink"/>
            <w:rFonts w:ascii="Times New Roman" w:eastAsia="Times New Roman" w:hAnsi="Times New Roman" w:cs="Times New Roman"/>
            <w:lang w:val="en-US"/>
          </w:rPr>
          <w:t>https://research.acer.edu.au/ict_literacy/23/</w:t>
        </w:r>
      </w:hyperlink>
    </w:p>
    <w:p w14:paraId="084E37F3"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BC50A2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Fraillon</w:t>
      </w:r>
      <w:proofErr w:type="spellEnd"/>
      <w:r w:rsidRPr="00235B80">
        <w:rPr>
          <w:rFonts w:ascii="Times New Roman" w:eastAsia="Times New Roman" w:hAnsi="Times New Roman" w:cs="Times New Roman"/>
          <w:color w:val="000000"/>
          <w:lang w:val="en-US"/>
        </w:rPr>
        <w:t xml:space="preserve">, J., Gebhardt, E., Friedman, T., Duckworth, D., O’Malley, K., &amp; Vernon, K. (2018). </w:t>
      </w:r>
      <w:r w:rsidRPr="00235B80">
        <w:rPr>
          <w:rFonts w:ascii="Times New Roman" w:eastAsia="Times New Roman" w:hAnsi="Times New Roman" w:cs="Times New Roman"/>
          <w:i/>
          <w:color w:val="000000"/>
          <w:lang w:val="en-US"/>
        </w:rPr>
        <w:t>NAP sample assessment ICT literacy; years 6 and 10</w:t>
      </w:r>
      <w:r w:rsidRPr="00235B80">
        <w:rPr>
          <w:rFonts w:ascii="Times New Roman" w:eastAsia="Times New Roman" w:hAnsi="Times New Roman" w:cs="Times New Roman"/>
          <w:color w:val="000000"/>
          <w:lang w:val="en-US"/>
        </w:rPr>
        <w:t xml:space="preserve">. Australian Curriculum Assessment and Reporting Authority. </w:t>
      </w:r>
      <w:hyperlink r:id="rId19" w:history="1">
        <w:r w:rsidRPr="00235B80">
          <w:rPr>
            <w:rStyle w:val="Hyperlink"/>
            <w:rFonts w:ascii="Times New Roman" w:eastAsia="Times New Roman" w:hAnsi="Times New Roman" w:cs="Times New Roman"/>
            <w:lang w:val="en-US"/>
          </w:rPr>
          <w:t>https://www.nap.edu.au/docs/default-source/default-document-library/2017napictlreport_final.pdf?sfvrsn=2</w:t>
        </w:r>
      </w:hyperlink>
    </w:p>
    <w:p w14:paraId="1122EF02"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0437D0BC" w14:textId="700BCD73"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Gomez, D. (2018). The three levels of the digital divide: barriers in access, use and utility of internet among young people in </w:t>
      </w:r>
      <w:r w:rsidR="00337611">
        <w:rPr>
          <w:rFonts w:ascii="Times New Roman" w:eastAsia="Times New Roman" w:hAnsi="Times New Roman" w:cs="Times New Roman"/>
          <w:color w:val="000000"/>
          <w:lang w:val="en-US"/>
        </w:rPr>
        <w:t>S</w:t>
      </w:r>
      <w:r w:rsidRPr="00235B80">
        <w:rPr>
          <w:rFonts w:ascii="Times New Roman" w:eastAsia="Times New Roman" w:hAnsi="Times New Roman" w:cs="Times New Roman"/>
          <w:color w:val="000000"/>
          <w:lang w:val="en-US"/>
        </w:rPr>
        <w:t xml:space="preserve">pain. </w:t>
      </w:r>
      <w:proofErr w:type="spellStart"/>
      <w:r w:rsidRPr="00235B80">
        <w:rPr>
          <w:rFonts w:ascii="Times New Roman" w:eastAsia="Times New Roman" w:hAnsi="Times New Roman" w:cs="Times New Roman"/>
          <w:i/>
          <w:color w:val="000000"/>
          <w:lang w:val="en-US"/>
        </w:rPr>
        <w:t>Interacoes</w:t>
      </w:r>
      <w:proofErr w:type="spellEnd"/>
      <w:r w:rsidRPr="00235B80">
        <w:rPr>
          <w:rFonts w:ascii="Times New Roman" w:eastAsia="Times New Roman" w:hAnsi="Times New Roman" w:cs="Times New Roman"/>
          <w:i/>
          <w:color w:val="000000"/>
          <w:lang w:val="en-US"/>
        </w:rPr>
        <w:t xml:space="preserve">: </w:t>
      </w:r>
      <w:proofErr w:type="spellStart"/>
      <w:r w:rsidRPr="00235B80">
        <w:rPr>
          <w:rFonts w:ascii="Times New Roman" w:eastAsia="Times New Roman" w:hAnsi="Times New Roman" w:cs="Times New Roman"/>
          <w:i/>
          <w:color w:val="000000"/>
          <w:lang w:val="en-US"/>
        </w:rPr>
        <w:t>Sociedade</w:t>
      </w:r>
      <w:proofErr w:type="spellEnd"/>
      <w:r w:rsidRPr="00235B80">
        <w:rPr>
          <w:rFonts w:ascii="Times New Roman" w:eastAsia="Times New Roman" w:hAnsi="Times New Roman" w:cs="Times New Roman"/>
          <w:i/>
          <w:color w:val="000000"/>
          <w:lang w:val="en-US"/>
        </w:rPr>
        <w:t xml:space="preserve"> E </w:t>
      </w:r>
      <w:proofErr w:type="gramStart"/>
      <w:r w:rsidRPr="00235B80">
        <w:rPr>
          <w:rFonts w:ascii="Times New Roman" w:eastAsia="Times New Roman" w:hAnsi="Times New Roman" w:cs="Times New Roman"/>
          <w:i/>
          <w:color w:val="000000"/>
          <w:lang w:val="en-US"/>
        </w:rPr>
        <w:t>As</w:t>
      </w:r>
      <w:proofErr w:type="gramEnd"/>
      <w:r w:rsidRPr="00235B80">
        <w:rPr>
          <w:rFonts w:ascii="Times New Roman" w:eastAsia="Times New Roman" w:hAnsi="Times New Roman" w:cs="Times New Roman"/>
          <w:i/>
          <w:color w:val="000000"/>
          <w:lang w:val="en-US"/>
        </w:rPr>
        <w:t xml:space="preserve"> </w:t>
      </w:r>
      <w:proofErr w:type="spellStart"/>
      <w:r w:rsidRPr="00235B80">
        <w:rPr>
          <w:rFonts w:ascii="Times New Roman" w:eastAsia="Times New Roman" w:hAnsi="Times New Roman" w:cs="Times New Roman"/>
          <w:i/>
          <w:color w:val="000000"/>
          <w:lang w:val="en-US"/>
        </w:rPr>
        <w:t>Novas</w:t>
      </w:r>
      <w:proofErr w:type="spellEnd"/>
      <w:r w:rsidRPr="00235B80">
        <w:rPr>
          <w:rFonts w:ascii="Times New Roman" w:eastAsia="Times New Roman" w:hAnsi="Times New Roman" w:cs="Times New Roman"/>
          <w:i/>
          <w:color w:val="000000"/>
          <w:lang w:val="en-US"/>
        </w:rPr>
        <w:t xml:space="preserve"> </w:t>
      </w:r>
      <w:proofErr w:type="spellStart"/>
      <w:r w:rsidRPr="00235B80">
        <w:rPr>
          <w:rFonts w:ascii="Times New Roman" w:eastAsia="Times New Roman" w:hAnsi="Times New Roman" w:cs="Times New Roman"/>
          <w:i/>
          <w:color w:val="000000"/>
          <w:lang w:val="en-US"/>
        </w:rPr>
        <w:t>Modernidades</w:t>
      </w:r>
      <w:proofErr w:type="spellEnd"/>
      <w:r w:rsidRPr="00235B80">
        <w:rPr>
          <w:rFonts w:ascii="Times New Roman" w:eastAsia="Times New Roman" w:hAnsi="Times New Roman" w:cs="Times New Roman"/>
          <w:i/>
          <w:color w:val="000000"/>
          <w:lang w:val="en-US"/>
        </w:rPr>
        <w:t>, 34</w:t>
      </w:r>
      <w:r w:rsidRPr="00235B80">
        <w:rPr>
          <w:rFonts w:ascii="Times New Roman" w:eastAsia="Times New Roman" w:hAnsi="Times New Roman" w:cs="Times New Roman"/>
          <w:color w:val="000000"/>
          <w:lang w:val="en-US"/>
        </w:rPr>
        <w:t xml:space="preserve">, 34-91. </w:t>
      </w:r>
      <w:hyperlink r:id="rId20" w:history="1">
        <w:r w:rsidRPr="00235B80">
          <w:rPr>
            <w:rStyle w:val="Hyperlink"/>
            <w:rFonts w:ascii="Times New Roman" w:eastAsia="Times New Roman" w:hAnsi="Times New Roman" w:cs="Times New Roman"/>
            <w:lang w:val="en-US"/>
          </w:rPr>
          <w:t>https://doi.org/https://doi.org/10.31211/interacoes.n34.2018.a4</w:t>
        </w:r>
      </w:hyperlink>
      <w:r w:rsidRPr="00235B80">
        <w:rPr>
          <w:rFonts w:ascii="Times New Roman" w:eastAsia="Times New Roman" w:hAnsi="Times New Roman" w:cs="Times New Roman"/>
          <w:color w:val="000000"/>
          <w:lang w:val="en-US"/>
        </w:rPr>
        <w:t xml:space="preserve"> </w:t>
      </w:r>
    </w:p>
    <w:p w14:paraId="6C4F67D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D4F1E50"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Gomez, D. (2019). Technological capital and digital divide among young people: an intersectional approach. </w:t>
      </w:r>
      <w:r w:rsidRPr="00235B80">
        <w:rPr>
          <w:rFonts w:ascii="Times New Roman" w:eastAsia="Times New Roman" w:hAnsi="Times New Roman" w:cs="Times New Roman"/>
          <w:i/>
          <w:color w:val="000000"/>
          <w:lang w:val="en-US"/>
        </w:rPr>
        <w:t>journal of Youth Studies, 22</w:t>
      </w:r>
      <w:r w:rsidRPr="00235B80">
        <w:rPr>
          <w:rFonts w:ascii="Times New Roman" w:eastAsia="Times New Roman" w:hAnsi="Times New Roman" w:cs="Times New Roman"/>
          <w:color w:val="000000"/>
          <w:lang w:val="en-US"/>
        </w:rPr>
        <w:t xml:space="preserve">(7), 941-958. </w:t>
      </w:r>
      <w:hyperlink r:id="rId21" w:history="1">
        <w:r w:rsidRPr="00235B80">
          <w:rPr>
            <w:rStyle w:val="Hyperlink"/>
            <w:rFonts w:ascii="Times New Roman" w:eastAsia="Times New Roman" w:hAnsi="Times New Roman" w:cs="Times New Roman"/>
            <w:lang w:val="en-US"/>
          </w:rPr>
          <w:t>https://doi.org/10.1080/13676261.2018.1559283</w:t>
        </w:r>
      </w:hyperlink>
      <w:r w:rsidRPr="00235B80">
        <w:rPr>
          <w:rFonts w:ascii="Times New Roman" w:eastAsia="Times New Roman" w:hAnsi="Times New Roman" w:cs="Times New Roman"/>
          <w:color w:val="000000"/>
          <w:lang w:val="en-US"/>
        </w:rPr>
        <w:t xml:space="preserve"> </w:t>
      </w:r>
    </w:p>
    <w:p w14:paraId="1F4AA4ED"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0DA5E4FA"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Hargittai</w:t>
      </w:r>
      <w:proofErr w:type="spellEnd"/>
      <w:r w:rsidRPr="00235B80">
        <w:rPr>
          <w:rFonts w:ascii="Times New Roman" w:eastAsia="Times New Roman" w:hAnsi="Times New Roman" w:cs="Times New Roman"/>
          <w:color w:val="000000"/>
          <w:lang w:val="en-US"/>
        </w:rPr>
        <w:t xml:space="preserve">, E. (2002). Second-level digital divide: differences in people's online skills. </w:t>
      </w:r>
      <w:r w:rsidRPr="00235B80">
        <w:rPr>
          <w:rFonts w:ascii="Times New Roman" w:eastAsia="Times New Roman" w:hAnsi="Times New Roman" w:cs="Times New Roman"/>
          <w:i/>
          <w:color w:val="000000"/>
          <w:lang w:val="en-US"/>
        </w:rPr>
        <w:t>First Monday, 7</w:t>
      </w:r>
      <w:r w:rsidRPr="00235B80">
        <w:rPr>
          <w:rFonts w:ascii="Times New Roman" w:eastAsia="Times New Roman" w:hAnsi="Times New Roman" w:cs="Times New Roman"/>
          <w:color w:val="000000"/>
          <w:lang w:val="en-US"/>
        </w:rPr>
        <w:t xml:space="preserve">(4). </w:t>
      </w:r>
      <w:hyperlink r:id="rId22" w:history="1">
        <w:r w:rsidRPr="00235B80">
          <w:rPr>
            <w:rStyle w:val="Hyperlink"/>
            <w:rFonts w:ascii="Times New Roman" w:eastAsia="Times New Roman" w:hAnsi="Times New Roman" w:cs="Times New Roman"/>
            <w:lang w:val="en-US"/>
          </w:rPr>
          <w:t>https://doi.org/https://doi.org/10.5210/fm.v7i4.942</w:t>
        </w:r>
      </w:hyperlink>
      <w:r w:rsidRPr="00235B80">
        <w:rPr>
          <w:rFonts w:ascii="Times New Roman" w:eastAsia="Times New Roman" w:hAnsi="Times New Roman" w:cs="Times New Roman"/>
          <w:color w:val="000000"/>
          <w:lang w:val="en-US"/>
        </w:rPr>
        <w:t xml:space="preserve"> </w:t>
      </w:r>
    </w:p>
    <w:p w14:paraId="304E0C3C"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D38233A"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Harper, B., &amp; </w:t>
      </w:r>
      <w:proofErr w:type="spellStart"/>
      <w:r w:rsidRPr="00235B80">
        <w:rPr>
          <w:rFonts w:ascii="Times New Roman" w:eastAsia="Times New Roman" w:hAnsi="Times New Roman" w:cs="Times New Roman"/>
          <w:color w:val="000000"/>
          <w:lang w:val="en-US"/>
        </w:rPr>
        <w:t>Milman</w:t>
      </w:r>
      <w:proofErr w:type="spellEnd"/>
      <w:r w:rsidRPr="00235B80">
        <w:rPr>
          <w:rFonts w:ascii="Times New Roman" w:eastAsia="Times New Roman" w:hAnsi="Times New Roman" w:cs="Times New Roman"/>
          <w:color w:val="000000"/>
          <w:lang w:val="en-US"/>
        </w:rPr>
        <w:t xml:space="preserve">, N. B. (2016, 2016/04/02). One-to-one technology in k-12 classrooms: a review of the literature from 2004 through 2014. </w:t>
      </w:r>
      <w:r w:rsidRPr="00235B80">
        <w:rPr>
          <w:rFonts w:ascii="Times New Roman" w:eastAsia="Times New Roman" w:hAnsi="Times New Roman" w:cs="Times New Roman"/>
          <w:i/>
          <w:color w:val="000000"/>
          <w:lang w:val="en-US"/>
        </w:rPr>
        <w:t>Journal of Research on Technology in Education, 48</w:t>
      </w:r>
      <w:r w:rsidRPr="00235B80">
        <w:rPr>
          <w:rFonts w:ascii="Times New Roman" w:eastAsia="Times New Roman" w:hAnsi="Times New Roman" w:cs="Times New Roman"/>
          <w:color w:val="000000"/>
          <w:lang w:val="en-US"/>
        </w:rPr>
        <w:t xml:space="preserve">(2), 129-142. </w:t>
      </w:r>
      <w:hyperlink r:id="rId23" w:history="1">
        <w:r w:rsidRPr="00235B80">
          <w:rPr>
            <w:rStyle w:val="Hyperlink"/>
            <w:rFonts w:ascii="Times New Roman" w:eastAsia="Times New Roman" w:hAnsi="Times New Roman" w:cs="Times New Roman"/>
            <w:lang w:val="en-US"/>
          </w:rPr>
          <w:t>https://doi.org/https://doi.org/10.1080/15391523.2016.1146564</w:t>
        </w:r>
      </w:hyperlink>
      <w:r w:rsidRPr="00235B80">
        <w:rPr>
          <w:rFonts w:ascii="Times New Roman" w:eastAsia="Times New Roman" w:hAnsi="Times New Roman" w:cs="Times New Roman"/>
          <w:color w:val="000000"/>
          <w:lang w:val="en-US"/>
        </w:rPr>
        <w:t xml:space="preserve"> </w:t>
      </w:r>
    </w:p>
    <w:p w14:paraId="2DAC4236"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474D8CD"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lastRenderedPageBreak/>
        <w:t>Helsper</w:t>
      </w:r>
      <w:proofErr w:type="spellEnd"/>
      <w:r w:rsidRPr="00235B80">
        <w:rPr>
          <w:rFonts w:ascii="Times New Roman" w:eastAsia="Times New Roman" w:hAnsi="Times New Roman" w:cs="Times New Roman"/>
          <w:color w:val="000000"/>
          <w:lang w:val="en-US"/>
        </w:rPr>
        <w:t xml:space="preserve">, E., J. (2012). A corresponding fields model for the links between social and digital exclusion. </w:t>
      </w:r>
      <w:r w:rsidRPr="00235B80">
        <w:rPr>
          <w:rFonts w:ascii="Times New Roman" w:eastAsia="Times New Roman" w:hAnsi="Times New Roman" w:cs="Times New Roman"/>
          <w:i/>
          <w:color w:val="000000"/>
          <w:lang w:val="en-US"/>
        </w:rPr>
        <w:t>Communication Theory, 22</w:t>
      </w:r>
      <w:r w:rsidRPr="00235B80">
        <w:rPr>
          <w:rFonts w:ascii="Times New Roman" w:eastAsia="Times New Roman" w:hAnsi="Times New Roman" w:cs="Times New Roman"/>
          <w:color w:val="000000"/>
          <w:lang w:val="en-US"/>
        </w:rPr>
        <w:t xml:space="preserve">(4), 403-426. </w:t>
      </w:r>
      <w:hyperlink r:id="rId24" w:history="1">
        <w:r w:rsidRPr="00235B80">
          <w:rPr>
            <w:rStyle w:val="Hyperlink"/>
            <w:rFonts w:ascii="Times New Roman" w:eastAsia="Times New Roman" w:hAnsi="Times New Roman" w:cs="Times New Roman"/>
            <w:lang w:val="en-US"/>
          </w:rPr>
          <w:t>https://doi.org/https://doi.org/10.1111/j.1468-2885.2012.01416.x</w:t>
        </w:r>
      </w:hyperlink>
      <w:r w:rsidRPr="00235B80">
        <w:rPr>
          <w:rFonts w:ascii="Times New Roman" w:eastAsia="Times New Roman" w:hAnsi="Times New Roman" w:cs="Times New Roman"/>
          <w:color w:val="000000"/>
          <w:lang w:val="en-US"/>
        </w:rPr>
        <w:t xml:space="preserve"> </w:t>
      </w:r>
    </w:p>
    <w:p w14:paraId="51ADF961"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1A44CDF7" w14:textId="5A6460FF"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Helsper</w:t>
      </w:r>
      <w:proofErr w:type="spellEnd"/>
      <w:r w:rsidRPr="00235B80">
        <w:rPr>
          <w:rFonts w:ascii="Times New Roman" w:eastAsia="Times New Roman" w:hAnsi="Times New Roman" w:cs="Times New Roman"/>
          <w:color w:val="000000"/>
          <w:lang w:val="en-US"/>
        </w:rPr>
        <w:t xml:space="preserve">, E. J., &amp; </w:t>
      </w:r>
      <w:proofErr w:type="spellStart"/>
      <w:r w:rsidRPr="00235B80">
        <w:rPr>
          <w:rFonts w:ascii="Times New Roman" w:eastAsia="Times New Roman" w:hAnsi="Times New Roman" w:cs="Times New Roman"/>
          <w:color w:val="000000"/>
          <w:lang w:val="en-US"/>
        </w:rPr>
        <w:t>Reisdorf</w:t>
      </w:r>
      <w:proofErr w:type="spellEnd"/>
      <w:r w:rsidRPr="00235B80">
        <w:rPr>
          <w:rFonts w:ascii="Times New Roman" w:eastAsia="Times New Roman" w:hAnsi="Times New Roman" w:cs="Times New Roman"/>
          <w:color w:val="000000"/>
          <w:lang w:val="en-US"/>
        </w:rPr>
        <w:t xml:space="preserve">, B. C. (2017). The emergence of a “digital underclass” in </w:t>
      </w:r>
      <w:r w:rsidR="0068294B">
        <w:rPr>
          <w:rFonts w:ascii="Times New Roman" w:eastAsia="Times New Roman" w:hAnsi="Times New Roman" w:cs="Times New Roman"/>
          <w:color w:val="000000"/>
          <w:lang w:val="en-US"/>
        </w:rPr>
        <w:t>G</w:t>
      </w:r>
      <w:r w:rsidRPr="00235B80">
        <w:rPr>
          <w:rFonts w:ascii="Times New Roman" w:eastAsia="Times New Roman" w:hAnsi="Times New Roman" w:cs="Times New Roman"/>
          <w:color w:val="000000"/>
          <w:lang w:val="en-US"/>
        </w:rPr>
        <w:t xml:space="preserve">reat </w:t>
      </w:r>
      <w:r w:rsidR="0068294B" w:rsidRPr="00235B80">
        <w:rPr>
          <w:rFonts w:ascii="Times New Roman" w:eastAsia="Times New Roman" w:hAnsi="Times New Roman" w:cs="Times New Roman"/>
          <w:color w:val="000000"/>
          <w:lang w:val="en-US"/>
        </w:rPr>
        <w:t>Britain</w:t>
      </w:r>
      <w:r w:rsidRPr="00235B80">
        <w:rPr>
          <w:rFonts w:ascii="Times New Roman" w:eastAsia="Times New Roman" w:hAnsi="Times New Roman" w:cs="Times New Roman"/>
          <w:color w:val="000000"/>
          <w:lang w:val="en-US"/>
        </w:rPr>
        <w:t xml:space="preserve"> and </w:t>
      </w:r>
      <w:r w:rsidR="0068294B">
        <w:rPr>
          <w:rFonts w:ascii="Times New Roman" w:eastAsia="Times New Roman" w:hAnsi="Times New Roman" w:cs="Times New Roman"/>
          <w:color w:val="000000"/>
          <w:lang w:val="en-US"/>
        </w:rPr>
        <w:t>S</w:t>
      </w:r>
      <w:r w:rsidRPr="00235B80">
        <w:rPr>
          <w:rFonts w:ascii="Times New Roman" w:eastAsia="Times New Roman" w:hAnsi="Times New Roman" w:cs="Times New Roman"/>
          <w:color w:val="000000"/>
          <w:lang w:val="en-US"/>
        </w:rPr>
        <w:t xml:space="preserve">weden: changing reasons for digital exclusion. </w:t>
      </w:r>
      <w:r w:rsidRPr="00235B80">
        <w:rPr>
          <w:rFonts w:ascii="Times New Roman" w:eastAsia="Times New Roman" w:hAnsi="Times New Roman" w:cs="Times New Roman"/>
          <w:i/>
          <w:color w:val="000000"/>
          <w:lang w:val="en-US"/>
        </w:rPr>
        <w:t>new media &amp; society, 19</w:t>
      </w:r>
      <w:r w:rsidRPr="00235B80">
        <w:rPr>
          <w:rFonts w:ascii="Times New Roman" w:eastAsia="Times New Roman" w:hAnsi="Times New Roman" w:cs="Times New Roman"/>
          <w:color w:val="000000"/>
          <w:lang w:val="en-US"/>
        </w:rPr>
        <w:t xml:space="preserve">(8), 1253-1270. </w:t>
      </w:r>
      <w:hyperlink r:id="rId25" w:history="1">
        <w:r w:rsidRPr="00235B80">
          <w:rPr>
            <w:rStyle w:val="Hyperlink"/>
            <w:rFonts w:ascii="Times New Roman" w:eastAsia="Times New Roman" w:hAnsi="Times New Roman" w:cs="Times New Roman"/>
            <w:lang w:val="en-US"/>
          </w:rPr>
          <w:t>https://doi.org/10.1177/1461444816634676</w:t>
        </w:r>
      </w:hyperlink>
      <w:r w:rsidRPr="00235B80">
        <w:rPr>
          <w:rFonts w:ascii="Times New Roman" w:eastAsia="Times New Roman" w:hAnsi="Times New Roman" w:cs="Times New Roman"/>
          <w:color w:val="000000"/>
          <w:lang w:val="en-US"/>
        </w:rPr>
        <w:t xml:space="preserve"> </w:t>
      </w:r>
    </w:p>
    <w:p w14:paraId="5C9E3A6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D332157"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Islam, M. S., &amp; </w:t>
      </w:r>
      <w:proofErr w:type="spellStart"/>
      <w:r w:rsidRPr="00235B80">
        <w:rPr>
          <w:rFonts w:ascii="Times New Roman" w:eastAsia="Times New Roman" w:hAnsi="Times New Roman" w:cs="Times New Roman"/>
          <w:color w:val="000000"/>
          <w:lang w:val="en-US"/>
        </w:rPr>
        <w:t>Grönlund</w:t>
      </w:r>
      <w:proofErr w:type="spellEnd"/>
      <w:r w:rsidRPr="00235B80">
        <w:rPr>
          <w:rFonts w:ascii="Times New Roman" w:eastAsia="Times New Roman" w:hAnsi="Times New Roman" w:cs="Times New Roman"/>
          <w:color w:val="000000"/>
          <w:lang w:val="en-US"/>
        </w:rPr>
        <w:t xml:space="preserve">, Å. (2016, 2016/05/01). An international literature review of 1:1 computing in schools. </w:t>
      </w:r>
      <w:r w:rsidRPr="00235B80">
        <w:rPr>
          <w:rFonts w:ascii="Times New Roman" w:eastAsia="Times New Roman" w:hAnsi="Times New Roman" w:cs="Times New Roman"/>
          <w:i/>
          <w:color w:val="000000"/>
          <w:lang w:val="en-US"/>
        </w:rPr>
        <w:t>Journal of Educational Change, 17</w:t>
      </w:r>
      <w:r w:rsidRPr="00235B80">
        <w:rPr>
          <w:rFonts w:ascii="Times New Roman" w:eastAsia="Times New Roman" w:hAnsi="Times New Roman" w:cs="Times New Roman"/>
          <w:color w:val="000000"/>
          <w:lang w:val="en-US"/>
        </w:rPr>
        <w:t xml:space="preserve">(2), 191-222. </w:t>
      </w:r>
      <w:hyperlink r:id="rId26" w:history="1">
        <w:r w:rsidRPr="00235B80">
          <w:rPr>
            <w:rStyle w:val="Hyperlink"/>
            <w:rFonts w:ascii="Times New Roman" w:eastAsia="Times New Roman" w:hAnsi="Times New Roman" w:cs="Times New Roman"/>
            <w:lang w:val="en-US"/>
          </w:rPr>
          <w:t>https://doi.org/https://doi.org/10.1007/s10833-016-9271-y</w:t>
        </w:r>
      </w:hyperlink>
      <w:r w:rsidRPr="00235B80">
        <w:rPr>
          <w:rFonts w:ascii="Times New Roman" w:eastAsia="Times New Roman" w:hAnsi="Times New Roman" w:cs="Times New Roman"/>
          <w:color w:val="000000"/>
          <w:lang w:val="en-US"/>
        </w:rPr>
        <w:t xml:space="preserve"> </w:t>
      </w:r>
    </w:p>
    <w:p w14:paraId="6D92C89D"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3273036" w14:textId="367F0719"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Janssen, K., &amp; Phillipson, S. (2015). Are we ready for </w:t>
      </w:r>
      <w:r w:rsidR="0068294B">
        <w:rPr>
          <w:rFonts w:ascii="Times New Roman" w:eastAsia="Times New Roman" w:hAnsi="Times New Roman" w:cs="Times New Roman"/>
          <w:color w:val="000000"/>
          <w:lang w:val="en-US"/>
        </w:rPr>
        <w:t>BYOD</w:t>
      </w:r>
      <w:r w:rsidRPr="00235B80">
        <w:rPr>
          <w:rFonts w:ascii="Times New Roman" w:eastAsia="Times New Roman" w:hAnsi="Times New Roman" w:cs="Times New Roman"/>
          <w:color w:val="000000"/>
          <w:lang w:val="en-US"/>
        </w:rPr>
        <w:t xml:space="preserve">? A systematic review of the implementation and communication of </w:t>
      </w:r>
      <w:r w:rsidR="0068294B">
        <w:rPr>
          <w:rFonts w:ascii="Times New Roman" w:eastAsia="Times New Roman" w:hAnsi="Times New Roman" w:cs="Times New Roman"/>
          <w:color w:val="000000"/>
          <w:lang w:val="en-US"/>
        </w:rPr>
        <w:t>BYOD</w:t>
      </w:r>
      <w:r w:rsidRPr="00235B80">
        <w:rPr>
          <w:rFonts w:ascii="Times New Roman" w:eastAsia="Times New Roman" w:hAnsi="Times New Roman" w:cs="Times New Roman"/>
          <w:color w:val="000000"/>
          <w:lang w:val="en-US"/>
        </w:rPr>
        <w:t xml:space="preserve"> programs in </w:t>
      </w:r>
      <w:r w:rsidR="0068294B" w:rsidRPr="00235B80">
        <w:rPr>
          <w:rFonts w:ascii="Times New Roman" w:eastAsia="Times New Roman" w:hAnsi="Times New Roman" w:cs="Times New Roman"/>
          <w:color w:val="000000"/>
          <w:lang w:val="en-US"/>
        </w:rPr>
        <w:t>Australian</w:t>
      </w:r>
      <w:r w:rsidRPr="00235B80">
        <w:rPr>
          <w:rFonts w:ascii="Times New Roman" w:eastAsia="Times New Roman" w:hAnsi="Times New Roman" w:cs="Times New Roman"/>
          <w:color w:val="000000"/>
          <w:lang w:val="en-US"/>
        </w:rPr>
        <w:t xml:space="preserve"> schools. </w:t>
      </w:r>
      <w:r w:rsidRPr="00235B80">
        <w:rPr>
          <w:rFonts w:ascii="Times New Roman" w:eastAsia="Times New Roman" w:hAnsi="Times New Roman" w:cs="Times New Roman"/>
          <w:i/>
          <w:color w:val="000000"/>
          <w:lang w:val="en-US"/>
        </w:rPr>
        <w:t>Australian Educational Computing, 30</w:t>
      </w:r>
      <w:r w:rsidRPr="00235B80">
        <w:rPr>
          <w:rFonts w:ascii="Times New Roman" w:eastAsia="Times New Roman" w:hAnsi="Times New Roman" w:cs="Times New Roman"/>
          <w:color w:val="000000"/>
          <w:lang w:val="en-US"/>
        </w:rPr>
        <w:t xml:space="preserve">(2). </w:t>
      </w:r>
      <w:hyperlink r:id="rId27" w:history="1">
        <w:r w:rsidRPr="00235B80">
          <w:rPr>
            <w:rStyle w:val="Hyperlink"/>
            <w:rFonts w:ascii="Times New Roman" w:eastAsia="Times New Roman" w:hAnsi="Times New Roman" w:cs="Times New Roman"/>
            <w:lang w:val="en-US"/>
          </w:rPr>
          <w:t>http://journal.acce.edu.au/index.php/AEC/article/view/54</w:t>
        </w:r>
      </w:hyperlink>
      <w:r w:rsidRPr="00235B80">
        <w:rPr>
          <w:rFonts w:ascii="Times New Roman" w:eastAsia="Times New Roman" w:hAnsi="Times New Roman" w:cs="Times New Roman"/>
          <w:color w:val="000000"/>
          <w:lang w:val="en-US"/>
        </w:rPr>
        <w:t xml:space="preserve"> </w:t>
      </w:r>
    </w:p>
    <w:p w14:paraId="01716728"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768F0D58"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Kposowa</w:t>
      </w:r>
      <w:proofErr w:type="spellEnd"/>
      <w:r w:rsidRPr="00235B80">
        <w:rPr>
          <w:rFonts w:ascii="Times New Roman" w:eastAsia="Times New Roman" w:hAnsi="Times New Roman" w:cs="Times New Roman"/>
          <w:color w:val="000000"/>
          <w:lang w:val="en-US"/>
        </w:rPr>
        <w:t xml:space="preserve">, A. J., &amp; Valdez, A. D. (2013). Student laptop use and scores on standardized tests. </w:t>
      </w:r>
      <w:r w:rsidRPr="00235B80">
        <w:rPr>
          <w:rFonts w:ascii="Times New Roman" w:eastAsia="Times New Roman" w:hAnsi="Times New Roman" w:cs="Times New Roman"/>
          <w:i/>
          <w:color w:val="000000"/>
          <w:lang w:val="en-US"/>
        </w:rPr>
        <w:t>Journal of Educational Computing Research, 48</w:t>
      </w:r>
      <w:r w:rsidRPr="00235B80">
        <w:rPr>
          <w:rFonts w:ascii="Times New Roman" w:eastAsia="Times New Roman" w:hAnsi="Times New Roman" w:cs="Times New Roman"/>
          <w:color w:val="000000"/>
          <w:lang w:val="en-US"/>
        </w:rPr>
        <w:t xml:space="preserve">(3), 345-379. </w:t>
      </w:r>
      <w:hyperlink r:id="rId28" w:history="1">
        <w:r w:rsidRPr="00235B80">
          <w:rPr>
            <w:rStyle w:val="Hyperlink"/>
            <w:rFonts w:ascii="Times New Roman" w:eastAsia="Times New Roman" w:hAnsi="Times New Roman" w:cs="Times New Roman"/>
            <w:lang w:val="en-US"/>
          </w:rPr>
          <w:t>https://doi.org/https://doi.org/10.2190/EC.48.3.d</w:t>
        </w:r>
      </w:hyperlink>
      <w:r w:rsidRPr="00235B80">
        <w:rPr>
          <w:rFonts w:ascii="Times New Roman" w:eastAsia="Times New Roman" w:hAnsi="Times New Roman" w:cs="Times New Roman"/>
          <w:color w:val="000000"/>
          <w:lang w:val="en-US"/>
        </w:rPr>
        <w:t xml:space="preserve"> </w:t>
      </w:r>
    </w:p>
    <w:p w14:paraId="68FFE26D"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B9E65E9"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Lowther, D. L., </w:t>
      </w:r>
      <w:proofErr w:type="spellStart"/>
      <w:r w:rsidRPr="00235B80">
        <w:rPr>
          <w:rFonts w:ascii="Times New Roman" w:eastAsia="Times New Roman" w:hAnsi="Times New Roman" w:cs="Times New Roman"/>
          <w:color w:val="000000"/>
          <w:lang w:val="en-US"/>
        </w:rPr>
        <w:t>Inan</w:t>
      </w:r>
      <w:proofErr w:type="spellEnd"/>
      <w:r w:rsidRPr="00235B80">
        <w:rPr>
          <w:rFonts w:ascii="Times New Roman" w:eastAsia="Times New Roman" w:hAnsi="Times New Roman" w:cs="Times New Roman"/>
          <w:color w:val="000000"/>
          <w:lang w:val="en-US"/>
        </w:rPr>
        <w:t xml:space="preserve">, F. A., </w:t>
      </w:r>
      <w:proofErr w:type="spellStart"/>
      <w:r w:rsidRPr="00235B80">
        <w:rPr>
          <w:rFonts w:ascii="Times New Roman" w:eastAsia="Times New Roman" w:hAnsi="Times New Roman" w:cs="Times New Roman"/>
          <w:color w:val="000000"/>
          <w:lang w:val="en-US"/>
        </w:rPr>
        <w:t>Strahl</w:t>
      </w:r>
      <w:proofErr w:type="spellEnd"/>
      <w:r w:rsidRPr="00235B80">
        <w:rPr>
          <w:rFonts w:ascii="Times New Roman" w:eastAsia="Times New Roman" w:hAnsi="Times New Roman" w:cs="Times New Roman"/>
          <w:color w:val="000000"/>
          <w:lang w:val="en-US"/>
        </w:rPr>
        <w:t xml:space="preserve">, J. D., &amp; Ross, S. M. (2012). Do one-to-one initiatives bridge the way to 21st century knowledge and skills? </w:t>
      </w:r>
      <w:r w:rsidRPr="00235B80">
        <w:rPr>
          <w:rFonts w:ascii="Times New Roman" w:eastAsia="Times New Roman" w:hAnsi="Times New Roman" w:cs="Times New Roman"/>
          <w:i/>
          <w:color w:val="000000"/>
          <w:lang w:val="en-US"/>
        </w:rPr>
        <w:t>Journal of Educational Computing Research, 46</w:t>
      </w:r>
      <w:r w:rsidRPr="00235B80">
        <w:rPr>
          <w:rFonts w:ascii="Times New Roman" w:eastAsia="Times New Roman" w:hAnsi="Times New Roman" w:cs="Times New Roman"/>
          <w:color w:val="000000"/>
          <w:lang w:val="en-US"/>
        </w:rPr>
        <w:t xml:space="preserve">(1), 1-30. </w:t>
      </w:r>
      <w:hyperlink r:id="rId29" w:history="1">
        <w:r w:rsidRPr="00235B80">
          <w:rPr>
            <w:rStyle w:val="Hyperlink"/>
            <w:rFonts w:ascii="Times New Roman" w:eastAsia="Times New Roman" w:hAnsi="Times New Roman" w:cs="Times New Roman"/>
            <w:lang w:val="en-US"/>
          </w:rPr>
          <w:t>https://doi.org/https://doi.org/10.2190/EC.46.1.a</w:t>
        </w:r>
      </w:hyperlink>
      <w:r w:rsidRPr="00235B80">
        <w:rPr>
          <w:rFonts w:ascii="Times New Roman" w:eastAsia="Times New Roman" w:hAnsi="Times New Roman" w:cs="Times New Roman"/>
          <w:color w:val="000000"/>
          <w:lang w:val="en-US"/>
        </w:rPr>
        <w:t xml:space="preserve"> </w:t>
      </w:r>
    </w:p>
    <w:p w14:paraId="46B86E37"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C69144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Moon, U. J., &amp; </w:t>
      </w:r>
      <w:proofErr w:type="spellStart"/>
      <w:r w:rsidRPr="00235B80">
        <w:rPr>
          <w:rFonts w:ascii="Times New Roman" w:eastAsia="Times New Roman" w:hAnsi="Times New Roman" w:cs="Times New Roman"/>
          <w:color w:val="000000"/>
          <w:lang w:val="en-US"/>
        </w:rPr>
        <w:t>Hofferth</w:t>
      </w:r>
      <w:proofErr w:type="spellEnd"/>
      <w:r w:rsidRPr="00235B80">
        <w:rPr>
          <w:rFonts w:ascii="Times New Roman" w:eastAsia="Times New Roman" w:hAnsi="Times New Roman" w:cs="Times New Roman"/>
          <w:color w:val="000000"/>
          <w:lang w:val="en-US"/>
        </w:rPr>
        <w:t xml:space="preserve">, S. (2018). Change in Computer Access and the Academic Achievement of Immigrant Children. </w:t>
      </w:r>
      <w:r w:rsidRPr="00235B80">
        <w:rPr>
          <w:rFonts w:ascii="Times New Roman" w:eastAsia="Times New Roman" w:hAnsi="Times New Roman" w:cs="Times New Roman"/>
          <w:i/>
          <w:color w:val="000000"/>
          <w:lang w:val="en-US"/>
        </w:rPr>
        <w:t>Teachers College Record, 120</w:t>
      </w:r>
      <w:r w:rsidRPr="00235B80">
        <w:rPr>
          <w:rFonts w:ascii="Times New Roman" w:eastAsia="Times New Roman" w:hAnsi="Times New Roman" w:cs="Times New Roman"/>
          <w:color w:val="000000"/>
          <w:lang w:val="en-US"/>
        </w:rPr>
        <w:t xml:space="preserve">(4). </w:t>
      </w:r>
    </w:p>
    <w:p w14:paraId="563B37D6"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8DA035B"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Napoli, P. M., &amp; Obar, J. A. (2014). The emerging mobile internet underclass: a critique of mobile internet access. </w:t>
      </w:r>
      <w:r w:rsidRPr="00235B80">
        <w:rPr>
          <w:rFonts w:ascii="Times New Roman" w:eastAsia="Times New Roman" w:hAnsi="Times New Roman" w:cs="Times New Roman"/>
          <w:i/>
          <w:color w:val="000000"/>
          <w:lang w:val="en-US"/>
        </w:rPr>
        <w:t>The Information Society, 30</w:t>
      </w:r>
      <w:r w:rsidRPr="00235B80">
        <w:rPr>
          <w:rFonts w:ascii="Times New Roman" w:eastAsia="Times New Roman" w:hAnsi="Times New Roman" w:cs="Times New Roman"/>
          <w:color w:val="000000"/>
          <w:lang w:val="en-US"/>
        </w:rPr>
        <w:t xml:space="preserve">(5), 323-334. </w:t>
      </w:r>
      <w:hyperlink r:id="rId30" w:history="1">
        <w:r w:rsidRPr="00235B80">
          <w:rPr>
            <w:rStyle w:val="Hyperlink"/>
            <w:rFonts w:ascii="Times New Roman" w:eastAsia="Times New Roman" w:hAnsi="Times New Roman" w:cs="Times New Roman"/>
            <w:lang w:val="en-US"/>
          </w:rPr>
          <w:t>https://doi.org/10.1080/01972243.2014.944726</w:t>
        </w:r>
      </w:hyperlink>
      <w:r w:rsidRPr="00235B80">
        <w:rPr>
          <w:rFonts w:ascii="Times New Roman" w:eastAsia="Times New Roman" w:hAnsi="Times New Roman" w:cs="Times New Roman"/>
          <w:color w:val="000000"/>
          <w:lang w:val="en-US"/>
        </w:rPr>
        <w:t xml:space="preserve"> </w:t>
      </w:r>
    </w:p>
    <w:p w14:paraId="1EBF822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3F06EE1"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Nash, V., &amp; </w:t>
      </w:r>
      <w:proofErr w:type="spellStart"/>
      <w:r w:rsidRPr="00235B80">
        <w:rPr>
          <w:rFonts w:ascii="Times New Roman" w:eastAsia="Times New Roman" w:hAnsi="Times New Roman" w:cs="Times New Roman"/>
          <w:color w:val="000000"/>
          <w:lang w:val="en-US"/>
        </w:rPr>
        <w:t>Eynon</w:t>
      </w:r>
      <w:proofErr w:type="spellEnd"/>
      <w:r w:rsidRPr="00235B80">
        <w:rPr>
          <w:rFonts w:ascii="Times New Roman" w:eastAsia="Times New Roman" w:hAnsi="Times New Roman" w:cs="Times New Roman"/>
          <w:color w:val="000000"/>
          <w:lang w:val="en-US"/>
        </w:rPr>
        <w:t xml:space="preserve">, R. (2020). Coronavirus school closures impact 1.3 billion children - and remote learning is increasing inequality. </w:t>
      </w:r>
      <w:r w:rsidRPr="00235B80">
        <w:rPr>
          <w:rFonts w:ascii="Times New Roman" w:eastAsia="Times New Roman" w:hAnsi="Times New Roman" w:cs="Times New Roman"/>
          <w:i/>
          <w:color w:val="000000"/>
          <w:lang w:val="en-US"/>
        </w:rPr>
        <w:t>The Conversation</w:t>
      </w:r>
      <w:r w:rsidRPr="00235B80">
        <w:rPr>
          <w:rFonts w:ascii="Times New Roman" w:eastAsia="Times New Roman" w:hAnsi="Times New Roman" w:cs="Times New Roman"/>
          <w:color w:val="000000"/>
          <w:lang w:val="en-US"/>
        </w:rPr>
        <w:t xml:space="preserve">. Retrieved 20 May, from </w:t>
      </w:r>
      <w:hyperlink r:id="rId31" w:history="1">
        <w:r w:rsidRPr="00235B80">
          <w:rPr>
            <w:rStyle w:val="Hyperlink"/>
            <w:rFonts w:ascii="Times New Roman" w:eastAsia="Times New Roman" w:hAnsi="Times New Roman" w:cs="Times New Roman"/>
            <w:lang w:val="en-US"/>
          </w:rPr>
          <w:t>https://theconversation.com/coronavirus-school-closures-impact-1-3-billion-children-and-remote-learning-is-increasing-inequality-138656</w:t>
        </w:r>
      </w:hyperlink>
      <w:r w:rsidRPr="00235B80">
        <w:rPr>
          <w:rFonts w:ascii="Times New Roman" w:eastAsia="Times New Roman" w:hAnsi="Times New Roman" w:cs="Times New Roman"/>
          <w:color w:val="000000"/>
          <w:lang w:val="en-US"/>
        </w:rPr>
        <w:t xml:space="preserve"> </w:t>
      </w:r>
    </w:p>
    <w:p w14:paraId="29DA7260"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C628F0A"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OECD. (2010). </w:t>
      </w:r>
      <w:r w:rsidRPr="00235B80">
        <w:rPr>
          <w:rFonts w:ascii="Times New Roman" w:eastAsia="Times New Roman" w:hAnsi="Times New Roman" w:cs="Times New Roman"/>
          <w:i/>
          <w:color w:val="000000"/>
          <w:lang w:val="en-US"/>
        </w:rPr>
        <w:t>Are the new millennium learners making the grade? Technology use and educational performance in PISA 2006</w:t>
      </w:r>
      <w:r w:rsidRPr="00235B80">
        <w:rPr>
          <w:rFonts w:ascii="Times New Roman" w:eastAsia="Times New Roman" w:hAnsi="Times New Roman" w:cs="Times New Roman"/>
          <w:color w:val="000000"/>
          <w:lang w:val="en-US"/>
        </w:rPr>
        <w:t xml:space="preserve">. OECD Publishing. </w:t>
      </w:r>
      <w:hyperlink r:id="rId32" w:history="1">
        <w:r w:rsidRPr="00235B80">
          <w:rPr>
            <w:rStyle w:val="Hyperlink"/>
            <w:rFonts w:ascii="Times New Roman" w:eastAsia="Times New Roman" w:hAnsi="Times New Roman" w:cs="Times New Roman"/>
            <w:lang w:val="en-US"/>
          </w:rPr>
          <w:t>https://doi.org/doi:https://doi.org/10.1787/9789264076044-en</w:t>
        </w:r>
      </w:hyperlink>
      <w:r w:rsidRPr="00235B80">
        <w:rPr>
          <w:rFonts w:ascii="Times New Roman" w:eastAsia="Times New Roman" w:hAnsi="Times New Roman" w:cs="Times New Roman"/>
          <w:color w:val="000000"/>
          <w:lang w:val="en-US"/>
        </w:rPr>
        <w:t xml:space="preserve"> </w:t>
      </w:r>
    </w:p>
    <w:p w14:paraId="2C16350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6AFCD81B"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Orwell, G. (1945). </w:t>
      </w:r>
      <w:r w:rsidRPr="00235B80">
        <w:rPr>
          <w:rFonts w:ascii="Times New Roman" w:eastAsia="Times New Roman" w:hAnsi="Times New Roman" w:cs="Times New Roman"/>
          <w:i/>
          <w:color w:val="000000"/>
          <w:lang w:val="en-US"/>
        </w:rPr>
        <w:t>Animal Farm</w:t>
      </w:r>
      <w:r w:rsidRPr="00235B80">
        <w:rPr>
          <w:rFonts w:ascii="Times New Roman" w:eastAsia="Times New Roman" w:hAnsi="Times New Roman" w:cs="Times New Roman"/>
          <w:color w:val="000000"/>
          <w:lang w:val="en-US"/>
        </w:rPr>
        <w:t xml:space="preserve">. Penguin Books. </w:t>
      </w:r>
    </w:p>
    <w:p w14:paraId="00FB751B" w14:textId="57462BF6" w:rsid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A1158AE" w14:textId="4683DCA8" w:rsidR="00337611" w:rsidRDefault="00337611"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BB503E1" w14:textId="77777777" w:rsidR="00337611" w:rsidRPr="00235B80" w:rsidRDefault="00337611"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9C8327F"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lastRenderedPageBreak/>
        <w:t xml:space="preserve">Penuel, W. R. (2006). Implementation and effects of one-to-one computing initiatives: a research synthesis. </w:t>
      </w:r>
      <w:r w:rsidRPr="00235B80">
        <w:rPr>
          <w:rFonts w:ascii="Times New Roman" w:eastAsia="Times New Roman" w:hAnsi="Times New Roman" w:cs="Times New Roman"/>
          <w:i/>
          <w:color w:val="000000"/>
          <w:lang w:val="en-US"/>
        </w:rPr>
        <w:t>Journal of Research on Technology in Education, 38</w:t>
      </w:r>
      <w:r w:rsidRPr="00235B80">
        <w:rPr>
          <w:rFonts w:ascii="Times New Roman" w:eastAsia="Times New Roman" w:hAnsi="Times New Roman" w:cs="Times New Roman"/>
          <w:color w:val="000000"/>
          <w:lang w:val="en-US"/>
        </w:rPr>
        <w:t xml:space="preserve">(3), 329-348. </w:t>
      </w:r>
      <w:hyperlink r:id="rId33" w:history="1">
        <w:r w:rsidRPr="00235B80">
          <w:rPr>
            <w:rStyle w:val="Hyperlink"/>
            <w:rFonts w:ascii="Times New Roman" w:eastAsia="Times New Roman" w:hAnsi="Times New Roman" w:cs="Times New Roman"/>
            <w:lang w:val="en-US"/>
          </w:rPr>
          <w:t>https://doi.org/https://doi.org/10.1080/15391523.2006.10782463</w:t>
        </w:r>
      </w:hyperlink>
      <w:r w:rsidRPr="00235B80">
        <w:rPr>
          <w:rFonts w:ascii="Times New Roman" w:eastAsia="Times New Roman" w:hAnsi="Times New Roman" w:cs="Times New Roman"/>
          <w:color w:val="000000"/>
          <w:lang w:val="en-US"/>
        </w:rPr>
        <w:t xml:space="preserve"> </w:t>
      </w:r>
    </w:p>
    <w:p w14:paraId="204619FE"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C5FDAC6"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Pullen, D. (2015). The influence of the home learning environment on middle school students’ use of ICT at school. </w:t>
      </w:r>
      <w:r w:rsidRPr="00235B80">
        <w:rPr>
          <w:rFonts w:ascii="Times New Roman" w:eastAsia="Times New Roman" w:hAnsi="Times New Roman" w:cs="Times New Roman"/>
          <w:i/>
          <w:color w:val="000000"/>
          <w:lang w:val="en-US"/>
        </w:rPr>
        <w:t>Australian Educational Computing, 30</w:t>
      </w:r>
      <w:r w:rsidRPr="00235B80">
        <w:rPr>
          <w:rFonts w:ascii="Times New Roman" w:eastAsia="Times New Roman" w:hAnsi="Times New Roman" w:cs="Times New Roman"/>
          <w:color w:val="000000"/>
          <w:lang w:val="en-US"/>
        </w:rPr>
        <w:t xml:space="preserve">(1). </w:t>
      </w:r>
      <w:hyperlink r:id="rId34" w:history="1">
        <w:r w:rsidRPr="00235B80">
          <w:rPr>
            <w:rStyle w:val="Hyperlink"/>
            <w:rFonts w:ascii="Times New Roman" w:eastAsia="Times New Roman" w:hAnsi="Times New Roman" w:cs="Times New Roman"/>
            <w:lang w:val="en-US"/>
          </w:rPr>
          <w:t>http://journal.acce.edu.au/index.php/AEC/article/view/49</w:t>
        </w:r>
      </w:hyperlink>
      <w:r w:rsidRPr="00235B80">
        <w:rPr>
          <w:rFonts w:ascii="Times New Roman" w:eastAsia="Times New Roman" w:hAnsi="Times New Roman" w:cs="Times New Roman"/>
          <w:color w:val="000000"/>
          <w:lang w:val="en-US"/>
        </w:rPr>
        <w:t xml:space="preserve"> </w:t>
      </w:r>
    </w:p>
    <w:p w14:paraId="4458ABEE"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18C8A6AD"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Ragnedda</w:t>
      </w:r>
      <w:proofErr w:type="spellEnd"/>
      <w:r w:rsidRPr="00235B80">
        <w:rPr>
          <w:rFonts w:ascii="Times New Roman" w:eastAsia="Times New Roman" w:hAnsi="Times New Roman" w:cs="Times New Roman"/>
          <w:color w:val="000000"/>
          <w:lang w:val="en-US"/>
        </w:rPr>
        <w:t xml:space="preserve">, M. (2018). </w:t>
      </w:r>
      <w:proofErr w:type="spellStart"/>
      <w:r w:rsidRPr="00235B80">
        <w:rPr>
          <w:rFonts w:ascii="Times New Roman" w:eastAsia="Times New Roman" w:hAnsi="Times New Roman" w:cs="Times New Roman"/>
          <w:color w:val="000000"/>
          <w:lang w:val="en-US"/>
        </w:rPr>
        <w:t>Conceputalizing</w:t>
      </w:r>
      <w:proofErr w:type="spellEnd"/>
      <w:r w:rsidRPr="00235B80">
        <w:rPr>
          <w:rFonts w:ascii="Times New Roman" w:eastAsia="Times New Roman" w:hAnsi="Times New Roman" w:cs="Times New Roman"/>
          <w:color w:val="000000"/>
          <w:lang w:val="en-US"/>
        </w:rPr>
        <w:t xml:space="preserve"> digital capital. </w:t>
      </w:r>
      <w:r w:rsidRPr="00235B80">
        <w:rPr>
          <w:rFonts w:ascii="Times New Roman" w:eastAsia="Times New Roman" w:hAnsi="Times New Roman" w:cs="Times New Roman"/>
          <w:i/>
          <w:color w:val="000000"/>
          <w:lang w:val="en-US"/>
        </w:rPr>
        <w:t>Telematics and Informatics, 35</w:t>
      </w:r>
      <w:r w:rsidRPr="00235B80">
        <w:rPr>
          <w:rFonts w:ascii="Times New Roman" w:eastAsia="Times New Roman" w:hAnsi="Times New Roman" w:cs="Times New Roman"/>
          <w:color w:val="000000"/>
          <w:lang w:val="en-US"/>
        </w:rPr>
        <w:t xml:space="preserve">(8), 2366-2375. </w:t>
      </w:r>
      <w:hyperlink r:id="rId35" w:history="1">
        <w:r w:rsidRPr="00235B80">
          <w:rPr>
            <w:rStyle w:val="Hyperlink"/>
            <w:rFonts w:ascii="Times New Roman" w:eastAsia="Times New Roman" w:hAnsi="Times New Roman" w:cs="Times New Roman"/>
            <w:lang w:val="en-US"/>
          </w:rPr>
          <w:t>https://doi.org/https://doi.org/10.1016/j.tele.2018.10.006</w:t>
        </w:r>
      </w:hyperlink>
      <w:r w:rsidRPr="00235B80">
        <w:rPr>
          <w:rFonts w:ascii="Times New Roman" w:eastAsia="Times New Roman" w:hAnsi="Times New Roman" w:cs="Times New Roman"/>
          <w:color w:val="000000"/>
          <w:lang w:val="en-US"/>
        </w:rPr>
        <w:t xml:space="preserve"> </w:t>
      </w:r>
    </w:p>
    <w:p w14:paraId="64AEECD3"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5C03A6A" w14:textId="7611C205"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Ragnedda</w:t>
      </w:r>
      <w:proofErr w:type="spellEnd"/>
      <w:r w:rsidRPr="00235B80">
        <w:rPr>
          <w:rFonts w:ascii="Times New Roman" w:eastAsia="Times New Roman" w:hAnsi="Times New Roman" w:cs="Times New Roman"/>
          <w:color w:val="000000"/>
          <w:lang w:val="en-US"/>
        </w:rPr>
        <w:t xml:space="preserve">, M., &amp; </w:t>
      </w:r>
      <w:proofErr w:type="spellStart"/>
      <w:r w:rsidRPr="00235B80">
        <w:rPr>
          <w:rFonts w:ascii="Times New Roman" w:eastAsia="Times New Roman" w:hAnsi="Times New Roman" w:cs="Times New Roman"/>
          <w:color w:val="000000"/>
          <w:lang w:val="en-US"/>
        </w:rPr>
        <w:t>Mutsvairo</w:t>
      </w:r>
      <w:proofErr w:type="spellEnd"/>
      <w:r w:rsidRPr="00235B80">
        <w:rPr>
          <w:rFonts w:ascii="Times New Roman" w:eastAsia="Times New Roman" w:hAnsi="Times New Roman" w:cs="Times New Roman"/>
          <w:color w:val="000000"/>
          <w:lang w:val="en-US"/>
        </w:rPr>
        <w:t xml:space="preserve">, B. (2018). Digital inclusion: empowering people </w:t>
      </w:r>
      <w:r w:rsidR="0068294B" w:rsidRPr="00235B80">
        <w:rPr>
          <w:rFonts w:ascii="Times New Roman" w:eastAsia="Times New Roman" w:hAnsi="Times New Roman" w:cs="Times New Roman"/>
          <w:color w:val="000000"/>
          <w:lang w:val="en-US"/>
        </w:rPr>
        <w:t>through</w:t>
      </w:r>
      <w:r w:rsidRPr="00235B80">
        <w:rPr>
          <w:rFonts w:ascii="Times New Roman" w:eastAsia="Times New Roman" w:hAnsi="Times New Roman" w:cs="Times New Roman"/>
          <w:color w:val="000000"/>
          <w:lang w:val="en-US"/>
        </w:rPr>
        <w:t xml:space="preserve"> information and communication technologies (</w:t>
      </w:r>
      <w:r w:rsidR="0068294B">
        <w:rPr>
          <w:rFonts w:ascii="Times New Roman" w:eastAsia="Times New Roman" w:hAnsi="Times New Roman" w:cs="Times New Roman"/>
          <w:color w:val="000000"/>
          <w:lang w:val="en-US"/>
        </w:rPr>
        <w:t>ICTs</w:t>
      </w:r>
      <w:r w:rsidRPr="00235B80">
        <w:rPr>
          <w:rFonts w:ascii="Times New Roman" w:eastAsia="Times New Roman" w:hAnsi="Times New Roman" w:cs="Times New Roman"/>
          <w:color w:val="000000"/>
          <w:lang w:val="en-US"/>
        </w:rPr>
        <w:t xml:space="preserve">). In M. </w:t>
      </w:r>
      <w:proofErr w:type="spellStart"/>
      <w:r w:rsidRPr="00235B80">
        <w:rPr>
          <w:rFonts w:ascii="Times New Roman" w:eastAsia="Times New Roman" w:hAnsi="Times New Roman" w:cs="Times New Roman"/>
          <w:color w:val="000000"/>
          <w:lang w:val="en-US"/>
        </w:rPr>
        <w:t>Ragnedda</w:t>
      </w:r>
      <w:proofErr w:type="spellEnd"/>
      <w:r w:rsidRPr="00235B80">
        <w:rPr>
          <w:rFonts w:ascii="Times New Roman" w:eastAsia="Times New Roman" w:hAnsi="Times New Roman" w:cs="Times New Roman"/>
          <w:color w:val="000000"/>
          <w:lang w:val="en-US"/>
        </w:rPr>
        <w:t xml:space="preserve"> &amp; B. </w:t>
      </w:r>
      <w:proofErr w:type="spellStart"/>
      <w:r w:rsidRPr="00235B80">
        <w:rPr>
          <w:rFonts w:ascii="Times New Roman" w:eastAsia="Times New Roman" w:hAnsi="Times New Roman" w:cs="Times New Roman"/>
          <w:color w:val="000000"/>
          <w:lang w:val="en-US"/>
        </w:rPr>
        <w:t>Mutsvairo</w:t>
      </w:r>
      <w:proofErr w:type="spellEnd"/>
      <w:r w:rsidRPr="00235B80">
        <w:rPr>
          <w:rFonts w:ascii="Times New Roman" w:eastAsia="Times New Roman" w:hAnsi="Times New Roman" w:cs="Times New Roman"/>
          <w:color w:val="000000"/>
          <w:lang w:val="en-US"/>
        </w:rPr>
        <w:t xml:space="preserve"> (Eds.), </w:t>
      </w:r>
      <w:r w:rsidRPr="00235B80">
        <w:rPr>
          <w:rFonts w:ascii="Times New Roman" w:eastAsia="Times New Roman" w:hAnsi="Times New Roman" w:cs="Times New Roman"/>
          <w:i/>
          <w:color w:val="000000"/>
          <w:lang w:val="en-US"/>
        </w:rPr>
        <w:t>Digital Inclusion. An International Comparative Analyses</w:t>
      </w:r>
      <w:r w:rsidRPr="00235B80">
        <w:rPr>
          <w:rFonts w:ascii="Times New Roman" w:eastAsia="Times New Roman" w:hAnsi="Times New Roman" w:cs="Times New Roman"/>
          <w:color w:val="000000"/>
          <w:lang w:val="en-US"/>
        </w:rPr>
        <w:t xml:space="preserve"> (pp. 7-14). </w:t>
      </w:r>
      <w:proofErr w:type="spellStart"/>
      <w:r w:rsidRPr="00235B80">
        <w:rPr>
          <w:rFonts w:ascii="Times New Roman" w:eastAsia="Times New Roman" w:hAnsi="Times New Roman" w:cs="Times New Roman"/>
          <w:color w:val="000000"/>
          <w:lang w:val="en-US"/>
        </w:rPr>
        <w:t>Lexxington</w:t>
      </w:r>
      <w:proofErr w:type="spellEnd"/>
      <w:r w:rsidRPr="00235B80">
        <w:rPr>
          <w:rFonts w:ascii="Times New Roman" w:eastAsia="Times New Roman" w:hAnsi="Times New Roman" w:cs="Times New Roman"/>
          <w:color w:val="000000"/>
          <w:lang w:val="en-US"/>
        </w:rPr>
        <w:t xml:space="preserve"> Book. </w:t>
      </w:r>
      <w:hyperlink r:id="rId36" w:history="1">
        <w:r w:rsidRPr="00235B80">
          <w:rPr>
            <w:rStyle w:val="Hyperlink"/>
            <w:rFonts w:ascii="Times New Roman" w:eastAsia="Times New Roman" w:hAnsi="Times New Roman" w:cs="Times New Roman"/>
            <w:lang w:val="en-US"/>
          </w:rPr>
          <w:t>http://hdl.handle.net/10453/128561</w:t>
        </w:r>
      </w:hyperlink>
      <w:r w:rsidRPr="00235B80">
        <w:rPr>
          <w:rFonts w:ascii="Times New Roman" w:eastAsia="Times New Roman" w:hAnsi="Times New Roman" w:cs="Times New Roman"/>
          <w:color w:val="000000"/>
          <w:lang w:val="en-US"/>
        </w:rPr>
        <w:t xml:space="preserve"> </w:t>
      </w:r>
    </w:p>
    <w:p w14:paraId="5A8DAD3A"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083B772B"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Ragnedda</w:t>
      </w:r>
      <w:proofErr w:type="spellEnd"/>
      <w:r w:rsidRPr="00235B80">
        <w:rPr>
          <w:rFonts w:ascii="Times New Roman" w:eastAsia="Times New Roman" w:hAnsi="Times New Roman" w:cs="Times New Roman"/>
          <w:color w:val="000000"/>
          <w:lang w:val="en-US"/>
        </w:rPr>
        <w:t xml:space="preserve">, M., </w:t>
      </w:r>
      <w:proofErr w:type="spellStart"/>
      <w:r w:rsidRPr="00235B80">
        <w:rPr>
          <w:rFonts w:ascii="Times New Roman" w:eastAsia="Times New Roman" w:hAnsi="Times New Roman" w:cs="Times New Roman"/>
          <w:color w:val="000000"/>
          <w:lang w:val="en-US"/>
        </w:rPr>
        <w:t>Ruiu</w:t>
      </w:r>
      <w:proofErr w:type="spellEnd"/>
      <w:r w:rsidRPr="00235B80">
        <w:rPr>
          <w:rFonts w:ascii="Times New Roman" w:eastAsia="Times New Roman" w:hAnsi="Times New Roman" w:cs="Times New Roman"/>
          <w:color w:val="000000"/>
          <w:lang w:val="en-US"/>
        </w:rPr>
        <w:t xml:space="preserve">, M. L., &amp; </w:t>
      </w:r>
      <w:proofErr w:type="spellStart"/>
      <w:r w:rsidRPr="00235B80">
        <w:rPr>
          <w:rFonts w:ascii="Times New Roman" w:eastAsia="Times New Roman" w:hAnsi="Times New Roman" w:cs="Times New Roman"/>
          <w:color w:val="000000"/>
          <w:lang w:val="en-US"/>
        </w:rPr>
        <w:t>Addeo</w:t>
      </w:r>
      <w:proofErr w:type="spellEnd"/>
      <w:r w:rsidRPr="00235B80">
        <w:rPr>
          <w:rFonts w:ascii="Times New Roman" w:eastAsia="Times New Roman" w:hAnsi="Times New Roman" w:cs="Times New Roman"/>
          <w:color w:val="000000"/>
          <w:lang w:val="en-US"/>
        </w:rPr>
        <w:t xml:space="preserve">, F. (2019). Measuring digital capital: an empirical investigation. </w:t>
      </w:r>
      <w:r w:rsidRPr="00235B80">
        <w:rPr>
          <w:rFonts w:ascii="Times New Roman" w:eastAsia="Times New Roman" w:hAnsi="Times New Roman" w:cs="Times New Roman"/>
          <w:i/>
          <w:color w:val="000000"/>
          <w:lang w:val="en-US"/>
        </w:rPr>
        <w:t>new media &amp; society, 22</w:t>
      </w:r>
      <w:r w:rsidRPr="00235B80">
        <w:rPr>
          <w:rFonts w:ascii="Times New Roman" w:eastAsia="Times New Roman" w:hAnsi="Times New Roman" w:cs="Times New Roman"/>
          <w:color w:val="000000"/>
          <w:lang w:val="en-US"/>
        </w:rPr>
        <w:t xml:space="preserve">(5), 793-816. </w:t>
      </w:r>
      <w:hyperlink r:id="rId37" w:history="1">
        <w:r w:rsidRPr="00235B80">
          <w:rPr>
            <w:rStyle w:val="Hyperlink"/>
            <w:rFonts w:ascii="Times New Roman" w:eastAsia="Times New Roman" w:hAnsi="Times New Roman" w:cs="Times New Roman"/>
            <w:lang w:val="en-US"/>
          </w:rPr>
          <w:t>https://doi.org/https://doi.org/10.1177/1461444819869604</w:t>
        </w:r>
      </w:hyperlink>
      <w:r w:rsidRPr="00235B80">
        <w:rPr>
          <w:rFonts w:ascii="Times New Roman" w:eastAsia="Times New Roman" w:hAnsi="Times New Roman" w:cs="Times New Roman"/>
          <w:color w:val="000000"/>
          <w:lang w:val="en-US"/>
        </w:rPr>
        <w:t xml:space="preserve"> </w:t>
      </w:r>
    </w:p>
    <w:p w14:paraId="6C57721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71C051B7" w14:textId="12A708DD"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Reisdorf</w:t>
      </w:r>
      <w:proofErr w:type="spellEnd"/>
      <w:r w:rsidRPr="00235B80">
        <w:rPr>
          <w:rFonts w:ascii="Times New Roman" w:eastAsia="Times New Roman" w:hAnsi="Times New Roman" w:cs="Times New Roman"/>
          <w:color w:val="000000"/>
          <w:lang w:val="en-US"/>
        </w:rPr>
        <w:t xml:space="preserve">, B. C., Fernandez, L., Hampton, K. N., Shin, I., &amp; Dutton, W. H. (2020). Mobile phones will not eliminate digital and social divides: how variation in internet activities mediates the relationship between type of internet access and local social capital in </w:t>
      </w:r>
      <w:r w:rsidR="00337611">
        <w:rPr>
          <w:rFonts w:ascii="Times New Roman" w:eastAsia="Times New Roman" w:hAnsi="Times New Roman" w:cs="Times New Roman"/>
          <w:color w:val="000000"/>
          <w:lang w:val="en-US"/>
        </w:rPr>
        <w:t>D</w:t>
      </w:r>
      <w:r w:rsidRPr="00235B80">
        <w:rPr>
          <w:rFonts w:ascii="Times New Roman" w:eastAsia="Times New Roman" w:hAnsi="Times New Roman" w:cs="Times New Roman"/>
          <w:color w:val="000000"/>
          <w:lang w:val="en-US"/>
        </w:rPr>
        <w:t xml:space="preserve">etroit. </w:t>
      </w:r>
      <w:r w:rsidRPr="00235B80">
        <w:rPr>
          <w:rFonts w:ascii="Times New Roman" w:eastAsia="Times New Roman" w:hAnsi="Times New Roman" w:cs="Times New Roman"/>
          <w:i/>
          <w:color w:val="000000"/>
          <w:lang w:val="en-US"/>
        </w:rPr>
        <w:t>Social Science Computer Review</w:t>
      </w:r>
      <w:r w:rsidRPr="00235B80">
        <w:rPr>
          <w:rFonts w:ascii="Times New Roman" w:eastAsia="Times New Roman" w:hAnsi="Times New Roman" w:cs="Times New Roman"/>
          <w:color w:val="000000"/>
          <w:lang w:val="en-US"/>
        </w:rPr>
        <w:t xml:space="preserve">, 1-21. </w:t>
      </w:r>
      <w:hyperlink r:id="rId38" w:history="1">
        <w:r w:rsidRPr="00235B80">
          <w:rPr>
            <w:rStyle w:val="Hyperlink"/>
            <w:rFonts w:ascii="Times New Roman" w:eastAsia="Times New Roman" w:hAnsi="Times New Roman" w:cs="Times New Roman"/>
            <w:lang w:val="en-US"/>
          </w:rPr>
          <w:t>https://doi.org/https://doi.org/10.1177/0894439320909446</w:t>
        </w:r>
      </w:hyperlink>
      <w:r w:rsidRPr="00235B80">
        <w:rPr>
          <w:rFonts w:ascii="Times New Roman" w:eastAsia="Times New Roman" w:hAnsi="Times New Roman" w:cs="Times New Roman"/>
          <w:color w:val="000000"/>
          <w:lang w:val="en-US"/>
        </w:rPr>
        <w:t xml:space="preserve"> </w:t>
      </w:r>
    </w:p>
    <w:p w14:paraId="7A0BBB69"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F219492"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Resta</w:t>
      </w:r>
      <w:proofErr w:type="spellEnd"/>
      <w:r w:rsidRPr="00235B80">
        <w:rPr>
          <w:rFonts w:ascii="Times New Roman" w:eastAsia="Times New Roman" w:hAnsi="Times New Roman" w:cs="Times New Roman"/>
          <w:color w:val="000000"/>
          <w:lang w:val="en-US"/>
        </w:rPr>
        <w:t xml:space="preserve">, P., &amp; </w:t>
      </w:r>
      <w:proofErr w:type="spellStart"/>
      <w:r w:rsidRPr="00235B80">
        <w:rPr>
          <w:rFonts w:ascii="Times New Roman" w:eastAsia="Times New Roman" w:hAnsi="Times New Roman" w:cs="Times New Roman"/>
          <w:color w:val="000000"/>
          <w:lang w:val="en-US"/>
        </w:rPr>
        <w:t>Laferrière</w:t>
      </w:r>
      <w:proofErr w:type="spellEnd"/>
      <w:r w:rsidRPr="00235B80">
        <w:rPr>
          <w:rFonts w:ascii="Times New Roman" w:eastAsia="Times New Roman" w:hAnsi="Times New Roman" w:cs="Times New Roman"/>
          <w:color w:val="000000"/>
          <w:lang w:val="en-US"/>
        </w:rPr>
        <w:t xml:space="preserve">, T. (2015). Digital equity and intercultural education. </w:t>
      </w:r>
      <w:r w:rsidRPr="00235B80">
        <w:rPr>
          <w:rFonts w:ascii="Times New Roman" w:eastAsia="Times New Roman" w:hAnsi="Times New Roman" w:cs="Times New Roman"/>
          <w:i/>
          <w:color w:val="000000"/>
          <w:lang w:val="en-US"/>
        </w:rPr>
        <w:t>Education and Information Technologies, 20</w:t>
      </w:r>
      <w:r w:rsidRPr="00235B80">
        <w:rPr>
          <w:rFonts w:ascii="Times New Roman" w:eastAsia="Times New Roman" w:hAnsi="Times New Roman" w:cs="Times New Roman"/>
          <w:color w:val="000000"/>
          <w:lang w:val="en-US"/>
        </w:rPr>
        <w:t xml:space="preserve">(4), 743-756. </w:t>
      </w:r>
      <w:hyperlink r:id="rId39" w:history="1">
        <w:r w:rsidRPr="00235B80">
          <w:rPr>
            <w:rStyle w:val="Hyperlink"/>
            <w:rFonts w:ascii="Times New Roman" w:eastAsia="Times New Roman" w:hAnsi="Times New Roman" w:cs="Times New Roman"/>
            <w:lang w:val="en-US"/>
          </w:rPr>
          <w:t>https://doi.org/http://dx.doi.org/10.1007/s10639-015-9419-z</w:t>
        </w:r>
      </w:hyperlink>
      <w:r w:rsidRPr="00235B80">
        <w:rPr>
          <w:rFonts w:ascii="Times New Roman" w:eastAsia="Times New Roman" w:hAnsi="Times New Roman" w:cs="Times New Roman"/>
          <w:color w:val="000000"/>
          <w:lang w:val="en-US"/>
        </w:rPr>
        <w:t xml:space="preserve"> </w:t>
      </w:r>
    </w:p>
    <w:p w14:paraId="364D6E6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5390EBDC"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Resta</w:t>
      </w:r>
      <w:proofErr w:type="spellEnd"/>
      <w:r w:rsidRPr="00235B80">
        <w:rPr>
          <w:rFonts w:ascii="Times New Roman" w:eastAsia="Times New Roman" w:hAnsi="Times New Roman" w:cs="Times New Roman"/>
          <w:color w:val="000000"/>
          <w:lang w:val="en-US"/>
        </w:rPr>
        <w:t xml:space="preserve">, P., </w:t>
      </w:r>
      <w:proofErr w:type="spellStart"/>
      <w:r w:rsidRPr="00235B80">
        <w:rPr>
          <w:rFonts w:ascii="Times New Roman" w:eastAsia="Times New Roman" w:hAnsi="Times New Roman" w:cs="Times New Roman"/>
          <w:color w:val="000000"/>
          <w:lang w:val="en-US"/>
        </w:rPr>
        <w:t>Laferrière</w:t>
      </w:r>
      <w:proofErr w:type="spellEnd"/>
      <w:r w:rsidRPr="00235B80">
        <w:rPr>
          <w:rFonts w:ascii="Times New Roman" w:eastAsia="Times New Roman" w:hAnsi="Times New Roman" w:cs="Times New Roman"/>
          <w:color w:val="000000"/>
          <w:lang w:val="en-US"/>
        </w:rPr>
        <w:t xml:space="preserve">, T., McLaughlin, R., &amp; </w:t>
      </w:r>
      <w:proofErr w:type="spellStart"/>
      <w:r w:rsidRPr="00235B80">
        <w:rPr>
          <w:rFonts w:ascii="Times New Roman" w:eastAsia="Times New Roman" w:hAnsi="Times New Roman" w:cs="Times New Roman"/>
          <w:color w:val="000000"/>
          <w:lang w:val="en-US"/>
        </w:rPr>
        <w:t>Kouraogo</w:t>
      </w:r>
      <w:proofErr w:type="spellEnd"/>
      <w:r w:rsidRPr="00235B80">
        <w:rPr>
          <w:rFonts w:ascii="Times New Roman" w:eastAsia="Times New Roman" w:hAnsi="Times New Roman" w:cs="Times New Roman"/>
          <w:color w:val="000000"/>
          <w:lang w:val="en-US"/>
        </w:rPr>
        <w:t xml:space="preserve">, A. (2018). Issues and challenges related to digital equity: an overview. In </w:t>
      </w:r>
      <w:r w:rsidRPr="00235B80">
        <w:rPr>
          <w:rFonts w:ascii="Times New Roman" w:eastAsia="Times New Roman" w:hAnsi="Times New Roman" w:cs="Times New Roman"/>
          <w:i/>
          <w:color w:val="000000"/>
          <w:lang w:val="en-US"/>
        </w:rPr>
        <w:t>Second international handbook of information technology in primary and secondary education. Cham: Springer</w:t>
      </w:r>
      <w:r w:rsidRPr="00235B80">
        <w:rPr>
          <w:rFonts w:ascii="Times New Roman" w:eastAsia="Times New Roman" w:hAnsi="Times New Roman" w:cs="Times New Roman"/>
          <w:color w:val="000000"/>
          <w:lang w:val="en-US"/>
        </w:rPr>
        <w:t xml:space="preserve">. </w:t>
      </w:r>
      <w:hyperlink r:id="rId40" w:history="1">
        <w:r w:rsidRPr="00235B80">
          <w:rPr>
            <w:rStyle w:val="Hyperlink"/>
            <w:rFonts w:ascii="Times New Roman" w:eastAsia="Times New Roman" w:hAnsi="Times New Roman" w:cs="Times New Roman"/>
            <w:lang w:val="en-US"/>
          </w:rPr>
          <w:t>https://doi.org/https://doi.org/10.1007/978-3-319-71054-9_67</w:t>
        </w:r>
      </w:hyperlink>
      <w:r w:rsidRPr="00235B80">
        <w:rPr>
          <w:rFonts w:ascii="Times New Roman" w:eastAsia="Times New Roman" w:hAnsi="Times New Roman" w:cs="Times New Roman"/>
          <w:color w:val="000000"/>
          <w:lang w:val="en-US"/>
        </w:rPr>
        <w:t xml:space="preserve"> </w:t>
      </w:r>
    </w:p>
    <w:p w14:paraId="79B54896"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AAE9163"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Rogers, E. M. (2003). </w:t>
      </w:r>
      <w:r w:rsidRPr="00235B80">
        <w:rPr>
          <w:rFonts w:ascii="Times New Roman" w:eastAsia="Times New Roman" w:hAnsi="Times New Roman" w:cs="Times New Roman"/>
          <w:i/>
          <w:color w:val="000000"/>
          <w:lang w:val="en-US"/>
        </w:rPr>
        <w:t>Diffusion of Innovations Fifth Edition</w:t>
      </w:r>
      <w:r w:rsidRPr="00235B80">
        <w:rPr>
          <w:rFonts w:ascii="Times New Roman" w:eastAsia="Times New Roman" w:hAnsi="Times New Roman" w:cs="Times New Roman"/>
          <w:color w:val="000000"/>
          <w:lang w:val="en-US"/>
        </w:rPr>
        <w:t xml:space="preserve">. The Free Press, Simon &amp; Schuster, Inc. </w:t>
      </w:r>
    </w:p>
    <w:p w14:paraId="560C5636"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25427E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Selwyn, N. (2004). Reconsidering political and popular understandings of the digital divide. </w:t>
      </w:r>
      <w:r w:rsidRPr="00235B80">
        <w:rPr>
          <w:rFonts w:ascii="Times New Roman" w:eastAsia="Times New Roman" w:hAnsi="Times New Roman" w:cs="Times New Roman"/>
          <w:i/>
          <w:color w:val="000000"/>
          <w:lang w:val="en-US"/>
        </w:rPr>
        <w:t>new media &amp; society, 6</w:t>
      </w:r>
      <w:r w:rsidRPr="00235B80">
        <w:rPr>
          <w:rFonts w:ascii="Times New Roman" w:eastAsia="Times New Roman" w:hAnsi="Times New Roman" w:cs="Times New Roman"/>
          <w:color w:val="000000"/>
          <w:lang w:val="en-US"/>
        </w:rPr>
        <w:t xml:space="preserve">(3), 341-362. </w:t>
      </w:r>
      <w:hyperlink r:id="rId41" w:history="1">
        <w:r w:rsidRPr="00235B80">
          <w:rPr>
            <w:rStyle w:val="Hyperlink"/>
            <w:rFonts w:ascii="Times New Roman" w:eastAsia="Times New Roman" w:hAnsi="Times New Roman" w:cs="Times New Roman"/>
            <w:lang w:val="en-US"/>
          </w:rPr>
          <w:t>https://doi.org/10.1177/1461444804042519</w:t>
        </w:r>
      </w:hyperlink>
      <w:r w:rsidRPr="00235B80">
        <w:rPr>
          <w:rFonts w:ascii="Times New Roman" w:eastAsia="Times New Roman" w:hAnsi="Times New Roman" w:cs="Times New Roman"/>
          <w:color w:val="000000"/>
          <w:lang w:val="en-US"/>
        </w:rPr>
        <w:t xml:space="preserve"> </w:t>
      </w:r>
    </w:p>
    <w:p w14:paraId="618B1A3C"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07A69C8" w14:textId="38CABE04"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Selwyn, N. (2019). </w:t>
      </w:r>
      <w:r w:rsidRPr="00235B80">
        <w:rPr>
          <w:rFonts w:ascii="Times New Roman" w:eastAsia="Times New Roman" w:hAnsi="Times New Roman" w:cs="Times New Roman"/>
          <w:i/>
          <w:color w:val="000000"/>
          <w:lang w:val="en-US"/>
        </w:rPr>
        <w:t xml:space="preserve">Digital lessons? Public opinions on the use of digital technologies in </w:t>
      </w:r>
      <w:r w:rsidR="00337611" w:rsidRPr="00235B80">
        <w:rPr>
          <w:rFonts w:ascii="Times New Roman" w:eastAsia="Times New Roman" w:hAnsi="Times New Roman" w:cs="Times New Roman"/>
          <w:i/>
          <w:color w:val="000000"/>
          <w:lang w:val="en-US"/>
        </w:rPr>
        <w:t>Australian</w:t>
      </w:r>
      <w:r w:rsidRPr="00235B80">
        <w:rPr>
          <w:rFonts w:ascii="Times New Roman" w:eastAsia="Times New Roman" w:hAnsi="Times New Roman" w:cs="Times New Roman"/>
          <w:i/>
          <w:color w:val="000000"/>
          <w:lang w:val="en-US"/>
        </w:rPr>
        <w:t xml:space="preserve"> schools</w:t>
      </w:r>
      <w:r w:rsidRPr="00235B80">
        <w:rPr>
          <w:rFonts w:ascii="Times New Roman" w:eastAsia="Times New Roman" w:hAnsi="Times New Roman" w:cs="Times New Roman"/>
          <w:color w:val="000000"/>
          <w:lang w:val="en-US"/>
        </w:rPr>
        <w:t xml:space="preserve">. </w:t>
      </w:r>
      <w:hyperlink r:id="rId42" w:history="1">
        <w:r w:rsidRPr="00235B80">
          <w:rPr>
            <w:rStyle w:val="Hyperlink"/>
            <w:rFonts w:ascii="Times New Roman" w:eastAsia="Times New Roman" w:hAnsi="Times New Roman" w:cs="Times New Roman"/>
            <w:lang w:val="en-US"/>
          </w:rPr>
          <w:t>https://pdfs.semanticscholar.org/c497/35bd0ebfd5427e965ea79caed127b916d5c2.pdf</w:t>
        </w:r>
      </w:hyperlink>
    </w:p>
    <w:p w14:paraId="6338EC67"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19D227F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Selwyn, N., &amp; Facer, K. (2014). The sociology of education and digital technology: past, present and future. </w:t>
      </w:r>
      <w:r w:rsidRPr="00235B80">
        <w:rPr>
          <w:rFonts w:ascii="Times New Roman" w:eastAsia="Times New Roman" w:hAnsi="Times New Roman" w:cs="Times New Roman"/>
          <w:i/>
          <w:color w:val="000000"/>
          <w:lang w:val="en-US"/>
        </w:rPr>
        <w:t>Oxford Review of Education, 40</w:t>
      </w:r>
      <w:r w:rsidRPr="00235B80">
        <w:rPr>
          <w:rFonts w:ascii="Times New Roman" w:eastAsia="Times New Roman" w:hAnsi="Times New Roman" w:cs="Times New Roman"/>
          <w:color w:val="000000"/>
          <w:lang w:val="en-US"/>
        </w:rPr>
        <w:t xml:space="preserve">(4), 482-496. </w:t>
      </w:r>
      <w:hyperlink r:id="rId43" w:history="1">
        <w:r w:rsidRPr="00235B80">
          <w:rPr>
            <w:rStyle w:val="Hyperlink"/>
            <w:rFonts w:ascii="Times New Roman" w:eastAsia="Times New Roman" w:hAnsi="Times New Roman" w:cs="Times New Roman"/>
            <w:lang w:val="en-US"/>
          </w:rPr>
          <w:t>https://doi.org/https://doi.org/10.1080/03054985.2014.933005</w:t>
        </w:r>
      </w:hyperlink>
      <w:r w:rsidRPr="00235B80">
        <w:rPr>
          <w:rFonts w:ascii="Times New Roman" w:eastAsia="Times New Roman" w:hAnsi="Times New Roman" w:cs="Times New Roman"/>
          <w:color w:val="000000"/>
          <w:lang w:val="en-US"/>
        </w:rPr>
        <w:t xml:space="preserve"> </w:t>
      </w:r>
    </w:p>
    <w:p w14:paraId="2E536AC6"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5133EB12"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Selwyn, N., </w:t>
      </w:r>
      <w:proofErr w:type="spellStart"/>
      <w:r w:rsidRPr="00235B80">
        <w:rPr>
          <w:rFonts w:ascii="Times New Roman" w:eastAsia="Times New Roman" w:hAnsi="Times New Roman" w:cs="Times New Roman"/>
          <w:color w:val="000000"/>
          <w:lang w:val="en-US"/>
        </w:rPr>
        <w:t>Nemorin</w:t>
      </w:r>
      <w:proofErr w:type="spellEnd"/>
      <w:r w:rsidRPr="00235B80">
        <w:rPr>
          <w:rFonts w:ascii="Times New Roman" w:eastAsia="Times New Roman" w:hAnsi="Times New Roman" w:cs="Times New Roman"/>
          <w:color w:val="000000"/>
          <w:lang w:val="en-US"/>
        </w:rPr>
        <w:t xml:space="preserve">, S., </w:t>
      </w:r>
      <w:proofErr w:type="spellStart"/>
      <w:r w:rsidRPr="00235B80">
        <w:rPr>
          <w:rFonts w:ascii="Times New Roman" w:eastAsia="Times New Roman" w:hAnsi="Times New Roman" w:cs="Times New Roman"/>
          <w:color w:val="000000"/>
          <w:lang w:val="en-US"/>
        </w:rPr>
        <w:t>Bulfin</w:t>
      </w:r>
      <w:proofErr w:type="spellEnd"/>
      <w:r w:rsidRPr="00235B80">
        <w:rPr>
          <w:rFonts w:ascii="Times New Roman" w:eastAsia="Times New Roman" w:hAnsi="Times New Roman" w:cs="Times New Roman"/>
          <w:color w:val="000000"/>
          <w:lang w:val="en-US"/>
        </w:rPr>
        <w:t xml:space="preserve">, S., &amp; Johnson, N. F. (2017). Left to their own devices: the everyday realities of one-to-one classrooms. </w:t>
      </w:r>
      <w:r w:rsidRPr="00235B80">
        <w:rPr>
          <w:rFonts w:ascii="Times New Roman" w:eastAsia="Times New Roman" w:hAnsi="Times New Roman" w:cs="Times New Roman"/>
          <w:i/>
          <w:color w:val="000000"/>
          <w:lang w:val="en-US"/>
        </w:rPr>
        <w:t>Oxford Review of Education, 43</w:t>
      </w:r>
      <w:r w:rsidRPr="00235B80">
        <w:rPr>
          <w:rFonts w:ascii="Times New Roman" w:eastAsia="Times New Roman" w:hAnsi="Times New Roman" w:cs="Times New Roman"/>
          <w:color w:val="000000"/>
          <w:lang w:val="en-US"/>
        </w:rPr>
        <w:t xml:space="preserve">(3), 289-310. </w:t>
      </w:r>
      <w:hyperlink r:id="rId44" w:history="1">
        <w:r w:rsidRPr="00235B80">
          <w:rPr>
            <w:rStyle w:val="Hyperlink"/>
            <w:rFonts w:ascii="Times New Roman" w:eastAsia="Times New Roman" w:hAnsi="Times New Roman" w:cs="Times New Roman"/>
            <w:lang w:val="en-US"/>
          </w:rPr>
          <w:t>https://doi.org/https://doi.org/10.1080/03054985.2017.1305047</w:t>
        </w:r>
      </w:hyperlink>
      <w:r w:rsidRPr="00235B80">
        <w:rPr>
          <w:rFonts w:ascii="Times New Roman" w:eastAsia="Times New Roman" w:hAnsi="Times New Roman" w:cs="Times New Roman"/>
          <w:color w:val="000000"/>
          <w:lang w:val="en-US"/>
        </w:rPr>
        <w:t xml:space="preserve"> </w:t>
      </w:r>
    </w:p>
    <w:p w14:paraId="4FCDF3C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B0DAB6D"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Shapley, K., Sheehan, D., Maloney, C., &amp; </w:t>
      </w:r>
      <w:proofErr w:type="spellStart"/>
      <w:r w:rsidRPr="00235B80">
        <w:rPr>
          <w:rFonts w:ascii="Times New Roman" w:eastAsia="Times New Roman" w:hAnsi="Times New Roman" w:cs="Times New Roman"/>
          <w:color w:val="000000"/>
          <w:lang w:val="en-US"/>
        </w:rPr>
        <w:t>Caranikas</w:t>
      </w:r>
      <w:proofErr w:type="spellEnd"/>
      <w:r w:rsidRPr="00235B80">
        <w:rPr>
          <w:rFonts w:ascii="Times New Roman" w:eastAsia="Times New Roman" w:hAnsi="Times New Roman" w:cs="Times New Roman"/>
          <w:color w:val="000000"/>
          <w:lang w:val="en-US"/>
        </w:rPr>
        <w:t xml:space="preserve">-Walker, F. (2011, 09//). Effects of technology immersion on middle school students’ learning opportunities and achievement [Article]. </w:t>
      </w:r>
      <w:r w:rsidRPr="00235B80">
        <w:rPr>
          <w:rFonts w:ascii="Times New Roman" w:eastAsia="Times New Roman" w:hAnsi="Times New Roman" w:cs="Times New Roman"/>
          <w:i/>
          <w:color w:val="000000"/>
          <w:lang w:val="en-US"/>
        </w:rPr>
        <w:t>Journal of Educational Research, 104</w:t>
      </w:r>
      <w:r w:rsidRPr="00235B80">
        <w:rPr>
          <w:rFonts w:ascii="Times New Roman" w:eastAsia="Times New Roman" w:hAnsi="Times New Roman" w:cs="Times New Roman"/>
          <w:color w:val="000000"/>
          <w:lang w:val="en-US"/>
        </w:rPr>
        <w:t xml:space="preserve">(5), 299. </w:t>
      </w:r>
      <w:hyperlink r:id="rId45" w:history="1">
        <w:r w:rsidRPr="00235B80">
          <w:rPr>
            <w:rStyle w:val="Hyperlink"/>
            <w:rFonts w:ascii="Times New Roman" w:eastAsia="Times New Roman" w:hAnsi="Times New Roman" w:cs="Times New Roman"/>
            <w:lang w:val="en-US"/>
          </w:rPr>
          <w:t>https://doi.org/https://doi.org/10.1080/00220671003767615</w:t>
        </w:r>
      </w:hyperlink>
      <w:r w:rsidRPr="00235B80">
        <w:rPr>
          <w:rFonts w:ascii="Times New Roman" w:eastAsia="Times New Roman" w:hAnsi="Times New Roman" w:cs="Times New Roman"/>
          <w:color w:val="000000"/>
          <w:lang w:val="en-US"/>
        </w:rPr>
        <w:t xml:space="preserve"> </w:t>
      </w:r>
    </w:p>
    <w:p w14:paraId="46764CCA"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36CB334" w14:textId="64F153E8"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Smith, J., </w:t>
      </w:r>
      <w:proofErr w:type="spellStart"/>
      <w:r w:rsidRPr="00235B80">
        <w:rPr>
          <w:rFonts w:ascii="Times New Roman" w:eastAsia="Times New Roman" w:hAnsi="Times New Roman" w:cs="Times New Roman"/>
          <w:color w:val="000000"/>
          <w:lang w:val="en-US"/>
        </w:rPr>
        <w:t>Skrbis</w:t>
      </w:r>
      <w:proofErr w:type="spellEnd"/>
      <w:r w:rsidRPr="00235B80">
        <w:rPr>
          <w:rFonts w:ascii="Times New Roman" w:eastAsia="Times New Roman" w:hAnsi="Times New Roman" w:cs="Times New Roman"/>
          <w:color w:val="000000"/>
          <w:lang w:val="en-US"/>
        </w:rPr>
        <w:t xml:space="preserve">, Z., &amp; Western, M. (2013). Beneath the ‘digital native’ myth: understanding young </w:t>
      </w:r>
      <w:r w:rsidR="0068294B">
        <w:rPr>
          <w:rFonts w:ascii="Times New Roman" w:eastAsia="Times New Roman" w:hAnsi="Times New Roman" w:cs="Times New Roman"/>
          <w:color w:val="000000"/>
          <w:lang w:val="en-US"/>
        </w:rPr>
        <w:t>A</w:t>
      </w:r>
      <w:r w:rsidRPr="00235B80">
        <w:rPr>
          <w:rFonts w:ascii="Times New Roman" w:eastAsia="Times New Roman" w:hAnsi="Times New Roman" w:cs="Times New Roman"/>
          <w:color w:val="000000"/>
          <w:lang w:val="en-US"/>
        </w:rPr>
        <w:t xml:space="preserve">ustralians’ online time use. </w:t>
      </w:r>
      <w:r w:rsidRPr="00235B80">
        <w:rPr>
          <w:rFonts w:ascii="Times New Roman" w:eastAsia="Times New Roman" w:hAnsi="Times New Roman" w:cs="Times New Roman"/>
          <w:i/>
          <w:color w:val="000000"/>
          <w:lang w:val="en-US"/>
        </w:rPr>
        <w:t>Journal of Sociology, 49</w:t>
      </w:r>
      <w:r w:rsidRPr="00235B80">
        <w:rPr>
          <w:rFonts w:ascii="Times New Roman" w:eastAsia="Times New Roman" w:hAnsi="Times New Roman" w:cs="Times New Roman"/>
          <w:color w:val="000000"/>
          <w:lang w:val="en-US"/>
        </w:rPr>
        <w:t xml:space="preserve">(1), 97-118. </w:t>
      </w:r>
      <w:hyperlink r:id="rId46" w:history="1">
        <w:r w:rsidRPr="00235B80">
          <w:rPr>
            <w:rStyle w:val="Hyperlink"/>
            <w:rFonts w:ascii="Times New Roman" w:eastAsia="Times New Roman" w:hAnsi="Times New Roman" w:cs="Times New Roman"/>
            <w:lang w:val="en-US"/>
          </w:rPr>
          <w:t>https://doi.org/10.1177/1440783311434856</w:t>
        </w:r>
      </w:hyperlink>
      <w:r w:rsidRPr="00235B80">
        <w:rPr>
          <w:rFonts w:ascii="Times New Roman" w:eastAsia="Times New Roman" w:hAnsi="Times New Roman" w:cs="Times New Roman"/>
          <w:color w:val="000000"/>
          <w:lang w:val="en-US"/>
        </w:rPr>
        <w:t xml:space="preserve"> </w:t>
      </w:r>
    </w:p>
    <w:p w14:paraId="3C23B938"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1855F54" w14:textId="54E87FA9"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Thomson, S. (2020). What </w:t>
      </w:r>
      <w:r w:rsidR="0068294B">
        <w:rPr>
          <w:rFonts w:ascii="Times New Roman" w:eastAsia="Times New Roman" w:hAnsi="Times New Roman" w:cs="Times New Roman"/>
          <w:color w:val="000000"/>
          <w:lang w:val="en-US"/>
        </w:rPr>
        <w:t>PISA</w:t>
      </w:r>
      <w:r w:rsidRPr="00235B80">
        <w:rPr>
          <w:rFonts w:ascii="Times New Roman" w:eastAsia="Times New Roman" w:hAnsi="Times New Roman" w:cs="Times New Roman"/>
          <w:color w:val="000000"/>
          <w:lang w:val="en-US"/>
        </w:rPr>
        <w:t xml:space="preserve"> tells us about our preparedness for remote learning. </w:t>
      </w:r>
      <w:r w:rsidRPr="00235B80">
        <w:rPr>
          <w:rFonts w:ascii="Times New Roman" w:eastAsia="Times New Roman" w:hAnsi="Times New Roman" w:cs="Times New Roman"/>
          <w:i/>
          <w:color w:val="000000"/>
          <w:lang w:val="en-US"/>
        </w:rPr>
        <w:t>Teacher</w:t>
      </w:r>
      <w:r w:rsidRPr="00235B80">
        <w:rPr>
          <w:rFonts w:ascii="Times New Roman" w:eastAsia="Times New Roman" w:hAnsi="Times New Roman" w:cs="Times New Roman"/>
          <w:color w:val="000000"/>
          <w:lang w:val="en-US"/>
        </w:rPr>
        <w:t xml:space="preserve">. </w:t>
      </w:r>
      <w:hyperlink r:id="rId47" w:history="1">
        <w:r w:rsidRPr="00235B80">
          <w:rPr>
            <w:rStyle w:val="Hyperlink"/>
            <w:rFonts w:ascii="Times New Roman" w:eastAsia="Times New Roman" w:hAnsi="Times New Roman" w:cs="Times New Roman"/>
            <w:lang w:val="en-US"/>
          </w:rPr>
          <w:t>https://www.teachermagazine.com.au/columnists/sue-thomson/what-pisa-tells-us-about-our-preparedness-for-remote-learning</w:t>
        </w:r>
      </w:hyperlink>
      <w:r w:rsidRPr="00235B80">
        <w:rPr>
          <w:rFonts w:ascii="Times New Roman" w:eastAsia="Times New Roman" w:hAnsi="Times New Roman" w:cs="Times New Roman"/>
          <w:color w:val="000000"/>
          <w:lang w:val="en-US"/>
        </w:rPr>
        <w:t xml:space="preserve"> </w:t>
      </w:r>
    </w:p>
    <w:p w14:paraId="34A6E60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01D312C1" w14:textId="787BFF42"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Tondeur</w:t>
      </w:r>
      <w:proofErr w:type="spellEnd"/>
      <w:r w:rsidRPr="00235B80">
        <w:rPr>
          <w:rFonts w:ascii="Times New Roman" w:eastAsia="Times New Roman" w:hAnsi="Times New Roman" w:cs="Times New Roman"/>
          <w:color w:val="000000"/>
          <w:lang w:val="en-US"/>
        </w:rPr>
        <w:t xml:space="preserve">, J., </w:t>
      </w:r>
      <w:proofErr w:type="spellStart"/>
      <w:r w:rsidRPr="00235B80">
        <w:rPr>
          <w:rFonts w:ascii="Times New Roman" w:eastAsia="Times New Roman" w:hAnsi="Times New Roman" w:cs="Times New Roman"/>
          <w:color w:val="000000"/>
          <w:lang w:val="en-US"/>
        </w:rPr>
        <w:t>Sinnaeve</w:t>
      </w:r>
      <w:proofErr w:type="spellEnd"/>
      <w:r w:rsidRPr="00235B80">
        <w:rPr>
          <w:rFonts w:ascii="Times New Roman" w:eastAsia="Times New Roman" w:hAnsi="Times New Roman" w:cs="Times New Roman"/>
          <w:color w:val="000000"/>
          <w:lang w:val="en-US"/>
        </w:rPr>
        <w:t xml:space="preserve">, I., Van </w:t>
      </w:r>
      <w:proofErr w:type="spellStart"/>
      <w:r w:rsidRPr="00235B80">
        <w:rPr>
          <w:rFonts w:ascii="Times New Roman" w:eastAsia="Times New Roman" w:hAnsi="Times New Roman" w:cs="Times New Roman"/>
          <w:color w:val="000000"/>
          <w:lang w:val="en-US"/>
        </w:rPr>
        <w:t>Houtte</w:t>
      </w:r>
      <w:proofErr w:type="spellEnd"/>
      <w:r w:rsidRPr="00235B80">
        <w:rPr>
          <w:rFonts w:ascii="Times New Roman" w:eastAsia="Times New Roman" w:hAnsi="Times New Roman" w:cs="Times New Roman"/>
          <w:color w:val="000000"/>
          <w:lang w:val="en-US"/>
        </w:rPr>
        <w:t xml:space="preserve">, M., &amp; van </w:t>
      </w:r>
      <w:proofErr w:type="spellStart"/>
      <w:r w:rsidRPr="00235B80">
        <w:rPr>
          <w:rFonts w:ascii="Times New Roman" w:eastAsia="Times New Roman" w:hAnsi="Times New Roman" w:cs="Times New Roman"/>
          <w:color w:val="000000"/>
          <w:lang w:val="en-US"/>
        </w:rPr>
        <w:t>Braak</w:t>
      </w:r>
      <w:proofErr w:type="spellEnd"/>
      <w:r w:rsidRPr="00235B80">
        <w:rPr>
          <w:rFonts w:ascii="Times New Roman" w:eastAsia="Times New Roman" w:hAnsi="Times New Roman" w:cs="Times New Roman"/>
          <w:color w:val="000000"/>
          <w:lang w:val="en-US"/>
        </w:rPr>
        <w:t>, J. (2010). I</w:t>
      </w:r>
      <w:r w:rsidR="0068294B">
        <w:rPr>
          <w:rFonts w:ascii="Times New Roman" w:eastAsia="Times New Roman" w:hAnsi="Times New Roman" w:cs="Times New Roman"/>
          <w:color w:val="000000"/>
          <w:lang w:val="en-US"/>
        </w:rPr>
        <w:t>CT</w:t>
      </w:r>
      <w:r w:rsidRPr="00235B80">
        <w:rPr>
          <w:rFonts w:ascii="Times New Roman" w:eastAsia="Times New Roman" w:hAnsi="Times New Roman" w:cs="Times New Roman"/>
          <w:color w:val="000000"/>
          <w:lang w:val="en-US"/>
        </w:rPr>
        <w:t xml:space="preserve"> as cultural capital: the relationship between socioeconomic status and the computer-use profile of young people. </w:t>
      </w:r>
      <w:r w:rsidRPr="00235B80">
        <w:rPr>
          <w:rFonts w:ascii="Times New Roman" w:eastAsia="Times New Roman" w:hAnsi="Times New Roman" w:cs="Times New Roman"/>
          <w:i/>
          <w:color w:val="000000"/>
          <w:lang w:val="en-US"/>
        </w:rPr>
        <w:t>new media &amp; society, 13</w:t>
      </w:r>
      <w:r w:rsidRPr="00235B80">
        <w:rPr>
          <w:rFonts w:ascii="Times New Roman" w:eastAsia="Times New Roman" w:hAnsi="Times New Roman" w:cs="Times New Roman"/>
          <w:color w:val="000000"/>
          <w:lang w:val="en-US"/>
        </w:rPr>
        <w:t xml:space="preserve">(1), 151-168. </w:t>
      </w:r>
      <w:hyperlink r:id="rId48" w:history="1">
        <w:r w:rsidRPr="00235B80">
          <w:rPr>
            <w:rStyle w:val="Hyperlink"/>
            <w:rFonts w:ascii="Times New Roman" w:eastAsia="Times New Roman" w:hAnsi="Times New Roman" w:cs="Times New Roman"/>
            <w:lang w:val="en-US"/>
          </w:rPr>
          <w:t>https://doi.org/https://doi.org/10.1177/1461444810369245</w:t>
        </w:r>
      </w:hyperlink>
      <w:r w:rsidRPr="00235B80">
        <w:rPr>
          <w:rFonts w:ascii="Times New Roman" w:eastAsia="Times New Roman" w:hAnsi="Times New Roman" w:cs="Times New Roman"/>
          <w:color w:val="000000"/>
          <w:lang w:val="en-US"/>
        </w:rPr>
        <w:t xml:space="preserve"> </w:t>
      </w:r>
    </w:p>
    <w:p w14:paraId="19832DCA"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58805049"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van </w:t>
      </w:r>
      <w:proofErr w:type="spellStart"/>
      <w:r w:rsidRPr="00235B80">
        <w:rPr>
          <w:rFonts w:ascii="Times New Roman" w:eastAsia="Times New Roman" w:hAnsi="Times New Roman" w:cs="Times New Roman"/>
          <w:color w:val="000000"/>
          <w:lang w:val="en-US"/>
        </w:rPr>
        <w:t>Deursen</w:t>
      </w:r>
      <w:proofErr w:type="spellEnd"/>
      <w:r w:rsidRPr="00235B80">
        <w:rPr>
          <w:rFonts w:ascii="Times New Roman" w:eastAsia="Times New Roman" w:hAnsi="Times New Roman" w:cs="Times New Roman"/>
          <w:color w:val="000000"/>
          <w:lang w:val="en-US"/>
        </w:rPr>
        <w:t xml:space="preserve">, A., </w:t>
      </w:r>
      <w:proofErr w:type="spellStart"/>
      <w:r w:rsidRPr="00235B80">
        <w:rPr>
          <w:rFonts w:ascii="Times New Roman" w:eastAsia="Times New Roman" w:hAnsi="Times New Roman" w:cs="Times New Roman"/>
          <w:color w:val="000000"/>
          <w:lang w:val="en-US"/>
        </w:rPr>
        <w:t>Helsper</w:t>
      </w:r>
      <w:proofErr w:type="spellEnd"/>
      <w:r w:rsidRPr="00235B80">
        <w:rPr>
          <w:rFonts w:ascii="Times New Roman" w:eastAsia="Times New Roman" w:hAnsi="Times New Roman" w:cs="Times New Roman"/>
          <w:color w:val="000000"/>
          <w:lang w:val="en-US"/>
        </w:rPr>
        <w:t xml:space="preserve">, E. J., </w:t>
      </w:r>
      <w:proofErr w:type="spellStart"/>
      <w:r w:rsidRPr="00235B80">
        <w:rPr>
          <w:rFonts w:ascii="Times New Roman" w:eastAsia="Times New Roman" w:hAnsi="Times New Roman" w:cs="Times New Roman"/>
          <w:color w:val="000000"/>
          <w:lang w:val="en-US"/>
        </w:rPr>
        <w:t>Eynon</w:t>
      </w:r>
      <w:proofErr w:type="spellEnd"/>
      <w:r w:rsidRPr="00235B80">
        <w:rPr>
          <w:rFonts w:ascii="Times New Roman" w:eastAsia="Times New Roman" w:hAnsi="Times New Roman" w:cs="Times New Roman"/>
          <w:color w:val="000000"/>
          <w:lang w:val="en-US"/>
        </w:rPr>
        <w:t xml:space="preserve">, R., &amp; van Dijk, J. (2017). The </w:t>
      </w:r>
      <w:proofErr w:type="spellStart"/>
      <w:r w:rsidRPr="00235B80">
        <w:rPr>
          <w:rFonts w:ascii="Times New Roman" w:eastAsia="Times New Roman" w:hAnsi="Times New Roman" w:cs="Times New Roman"/>
          <w:color w:val="000000"/>
          <w:lang w:val="en-US"/>
        </w:rPr>
        <w:t>compoundness</w:t>
      </w:r>
      <w:proofErr w:type="spellEnd"/>
      <w:r w:rsidRPr="00235B80">
        <w:rPr>
          <w:rFonts w:ascii="Times New Roman" w:eastAsia="Times New Roman" w:hAnsi="Times New Roman" w:cs="Times New Roman"/>
          <w:color w:val="000000"/>
          <w:lang w:val="en-US"/>
        </w:rPr>
        <w:t xml:space="preserve"> and </w:t>
      </w:r>
      <w:proofErr w:type="spellStart"/>
      <w:r w:rsidRPr="00235B80">
        <w:rPr>
          <w:rFonts w:ascii="Times New Roman" w:eastAsia="Times New Roman" w:hAnsi="Times New Roman" w:cs="Times New Roman"/>
          <w:color w:val="000000"/>
          <w:lang w:val="en-US"/>
        </w:rPr>
        <w:t>sequentiality</w:t>
      </w:r>
      <w:proofErr w:type="spellEnd"/>
      <w:r w:rsidRPr="00235B80">
        <w:rPr>
          <w:rFonts w:ascii="Times New Roman" w:eastAsia="Times New Roman" w:hAnsi="Times New Roman" w:cs="Times New Roman"/>
          <w:color w:val="000000"/>
          <w:lang w:val="en-US"/>
        </w:rPr>
        <w:t xml:space="preserve"> of digital inequality </w:t>
      </w:r>
      <w:r w:rsidRPr="00235B80">
        <w:rPr>
          <w:rFonts w:ascii="Times New Roman" w:eastAsia="Times New Roman" w:hAnsi="Times New Roman" w:cs="Times New Roman"/>
          <w:i/>
          <w:color w:val="000000"/>
          <w:lang w:val="en-US"/>
        </w:rPr>
        <w:t>International Journal of Communication, 11</w:t>
      </w:r>
      <w:r w:rsidRPr="00235B80">
        <w:rPr>
          <w:rFonts w:ascii="Times New Roman" w:eastAsia="Times New Roman" w:hAnsi="Times New Roman" w:cs="Times New Roman"/>
          <w:color w:val="000000"/>
          <w:lang w:val="en-US"/>
        </w:rPr>
        <w:t xml:space="preserve">, 452-473. </w:t>
      </w:r>
      <w:hyperlink r:id="rId49" w:history="1">
        <w:r w:rsidRPr="00235B80">
          <w:rPr>
            <w:rStyle w:val="Hyperlink"/>
            <w:rFonts w:ascii="Times New Roman" w:eastAsia="Times New Roman" w:hAnsi="Times New Roman" w:cs="Times New Roman"/>
            <w:lang w:val="en-US"/>
          </w:rPr>
          <w:t>http://ijoc.org/index.php/ijoc/index</w:t>
        </w:r>
      </w:hyperlink>
      <w:r w:rsidRPr="00235B80">
        <w:rPr>
          <w:rFonts w:ascii="Times New Roman" w:eastAsia="Times New Roman" w:hAnsi="Times New Roman" w:cs="Times New Roman"/>
          <w:color w:val="000000"/>
          <w:lang w:val="en-US"/>
        </w:rPr>
        <w:t xml:space="preserve"> </w:t>
      </w:r>
    </w:p>
    <w:p w14:paraId="4D94F050"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65D40733"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van </w:t>
      </w:r>
      <w:proofErr w:type="spellStart"/>
      <w:r w:rsidRPr="00235B80">
        <w:rPr>
          <w:rFonts w:ascii="Times New Roman" w:eastAsia="Times New Roman" w:hAnsi="Times New Roman" w:cs="Times New Roman"/>
          <w:color w:val="000000"/>
          <w:lang w:val="en-US"/>
        </w:rPr>
        <w:t>Deursen</w:t>
      </w:r>
      <w:proofErr w:type="spellEnd"/>
      <w:r w:rsidRPr="00235B80">
        <w:rPr>
          <w:rFonts w:ascii="Times New Roman" w:eastAsia="Times New Roman" w:hAnsi="Times New Roman" w:cs="Times New Roman"/>
          <w:color w:val="000000"/>
          <w:lang w:val="en-US"/>
        </w:rPr>
        <w:t xml:space="preserve">, A., &amp; van Dijk, J. (2010). Internet skills and the digital divide. </w:t>
      </w:r>
      <w:r w:rsidRPr="00235B80">
        <w:rPr>
          <w:rFonts w:ascii="Times New Roman" w:eastAsia="Times New Roman" w:hAnsi="Times New Roman" w:cs="Times New Roman"/>
          <w:i/>
          <w:color w:val="000000"/>
          <w:lang w:val="en-US"/>
        </w:rPr>
        <w:t>New Media and Society, 13</w:t>
      </w:r>
      <w:r w:rsidRPr="00235B80">
        <w:rPr>
          <w:rFonts w:ascii="Times New Roman" w:eastAsia="Times New Roman" w:hAnsi="Times New Roman" w:cs="Times New Roman"/>
          <w:color w:val="000000"/>
          <w:lang w:val="en-US"/>
        </w:rPr>
        <w:t xml:space="preserve">(6), 893-911. </w:t>
      </w:r>
      <w:hyperlink r:id="rId50" w:history="1">
        <w:r w:rsidRPr="00235B80">
          <w:rPr>
            <w:rStyle w:val="Hyperlink"/>
            <w:rFonts w:ascii="Times New Roman" w:eastAsia="Times New Roman" w:hAnsi="Times New Roman" w:cs="Times New Roman"/>
            <w:lang w:val="en-US"/>
          </w:rPr>
          <w:t>https://doi.org/10.1177/1461444810386774</w:t>
        </w:r>
      </w:hyperlink>
      <w:r w:rsidRPr="00235B80">
        <w:rPr>
          <w:rFonts w:ascii="Times New Roman" w:eastAsia="Times New Roman" w:hAnsi="Times New Roman" w:cs="Times New Roman"/>
          <w:color w:val="000000"/>
          <w:lang w:val="en-US"/>
        </w:rPr>
        <w:t xml:space="preserve"> </w:t>
      </w:r>
    </w:p>
    <w:p w14:paraId="12251D13"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4D92ACF"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van </w:t>
      </w:r>
      <w:proofErr w:type="spellStart"/>
      <w:r w:rsidRPr="00235B80">
        <w:rPr>
          <w:rFonts w:ascii="Times New Roman" w:eastAsia="Times New Roman" w:hAnsi="Times New Roman" w:cs="Times New Roman"/>
          <w:color w:val="000000"/>
          <w:lang w:val="en-US"/>
        </w:rPr>
        <w:t>Deursen</w:t>
      </w:r>
      <w:proofErr w:type="spellEnd"/>
      <w:r w:rsidRPr="00235B80">
        <w:rPr>
          <w:rFonts w:ascii="Times New Roman" w:eastAsia="Times New Roman" w:hAnsi="Times New Roman" w:cs="Times New Roman"/>
          <w:color w:val="000000"/>
          <w:lang w:val="en-US"/>
        </w:rPr>
        <w:t xml:space="preserve">, A. J., &amp; </w:t>
      </w:r>
      <w:proofErr w:type="spellStart"/>
      <w:r w:rsidRPr="00235B80">
        <w:rPr>
          <w:rFonts w:ascii="Times New Roman" w:eastAsia="Times New Roman" w:hAnsi="Times New Roman" w:cs="Times New Roman"/>
          <w:color w:val="000000"/>
          <w:lang w:val="en-US"/>
        </w:rPr>
        <w:t>Helsper</w:t>
      </w:r>
      <w:proofErr w:type="spellEnd"/>
      <w:r w:rsidRPr="00235B80">
        <w:rPr>
          <w:rFonts w:ascii="Times New Roman" w:eastAsia="Times New Roman" w:hAnsi="Times New Roman" w:cs="Times New Roman"/>
          <w:color w:val="000000"/>
          <w:lang w:val="en-US"/>
        </w:rPr>
        <w:t xml:space="preserve">, E. J. (2015). The third-level digital divide: who benefits most from being online? </w:t>
      </w:r>
      <w:r w:rsidRPr="00235B80">
        <w:rPr>
          <w:rFonts w:ascii="Times New Roman" w:eastAsia="Times New Roman" w:hAnsi="Times New Roman" w:cs="Times New Roman"/>
          <w:i/>
          <w:color w:val="000000"/>
          <w:lang w:val="en-US"/>
        </w:rPr>
        <w:t>Studies in Media and Communications, 10</w:t>
      </w:r>
      <w:r w:rsidRPr="00235B80">
        <w:rPr>
          <w:rFonts w:ascii="Times New Roman" w:eastAsia="Times New Roman" w:hAnsi="Times New Roman" w:cs="Times New Roman"/>
          <w:color w:val="000000"/>
          <w:lang w:val="en-US"/>
        </w:rPr>
        <w:t xml:space="preserve">, 29-52. </w:t>
      </w:r>
      <w:hyperlink r:id="rId51" w:history="1">
        <w:r w:rsidRPr="00235B80">
          <w:rPr>
            <w:rStyle w:val="Hyperlink"/>
            <w:rFonts w:ascii="Times New Roman" w:eastAsia="Times New Roman" w:hAnsi="Times New Roman" w:cs="Times New Roman"/>
            <w:lang w:val="en-US"/>
          </w:rPr>
          <w:t>https://doi.org/https://doi.org/10.1108/S2050-206020150000010002</w:t>
        </w:r>
      </w:hyperlink>
      <w:r w:rsidRPr="00235B80">
        <w:rPr>
          <w:rFonts w:ascii="Times New Roman" w:eastAsia="Times New Roman" w:hAnsi="Times New Roman" w:cs="Times New Roman"/>
          <w:color w:val="000000"/>
          <w:lang w:val="en-US"/>
        </w:rPr>
        <w:t xml:space="preserve"> </w:t>
      </w:r>
    </w:p>
    <w:p w14:paraId="0A4C16ED"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4183FC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van </w:t>
      </w:r>
      <w:proofErr w:type="spellStart"/>
      <w:r w:rsidRPr="00235B80">
        <w:rPr>
          <w:rFonts w:ascii="Times New Roman" w:eastAsia="Times New Roman" w:hAnsi="Times New Roman" w:cs="Times New Roman"/>
          <w:color w:val="000000"/>
          <w:lang w:val="en-US"/>
        </w:rPr>
        <w:t>Deursen</w:t>
      </w:r>
      <w:proofErr w:type="spellEnd"/>
      <w:r w:rsidRPr="00235B80">
        <w:rPr>
          <w:rFonts w:ascii="Times New Roman" w:eastAsia="Times New Roman" w:hAnsi="Times New Roman" w:cs="Times New Roman"/>
          <w:color w:val="000000"/>
          <w:lang w:val="en-US"/>
        </w:rPr>
        <w:t xml:space="preserve">, A. J., &amp; van Dijk, J. A. (2019). The first-level digital divide shifts from inequalities in physical access to inequalities in material access. </w:t>
      </w:r>
      <w:r w:rsidRPr="00235B80">
        <w:rPr>
          <w:rFonts w:ascii="Times New Roman" w:eastAsia="Times New Roman" w:hAnsi="Times New Roman" w:cs="Times New Roman"/>
          <w:i/>
          <w:color w:val="000000"/>
          <w:lang w:val="en-US"/>
        </w:rPr>
        <w:t>new media &amp; society, 21</w:t>
      </w:r>
      <w:r w:rsidRPr="00235B80">
        <w:rPr>
          <w:rFonts w:ascii="Times New Roman" w:eastAsia="Times New Roman" w:hAnsi="Times New Roman" w:cs="Times New Roman"/>
          <w:color w:val="000000"/>
          <w:lang w:val="en-US"/>
        </w:rPr>
        <w:t xml:space="preserve">(2), 354-375. </w:t>
      </w:r>
      <w:hyperlink r:id="rId52" w:history="1">
        <w:r w:rsidRPr="00235B80">
          <w:rPr>
            <w:rStyle w:val="Hyperlink"/>
            <w:rFonts w:ascii="Times New Roman" w:eastAsia="Times New Roman" w:hAnsi="Times New Roman" w:cs="Times New Roman"/>
            <w:lang w:val="en-US"/>
          </w:rPr>
          <w:t>https://doi.org/10.1177/1461444818797082</w:t>
        </w:r>
      </w:hyperlink>
      <w:r w:rsidRPr="00235B80">
        <w:rPr>
          <w:rFonts w:ascii="Times New Roman" w:eastAsia="Times New Roman" w:hAnsi="Times New Roman" w:cs="Times New Roman"/>
          <w:color w:val="000000"/>
          <w:lang w:val="en-US"/>
        </w:rPr>
        <w:t xml:space="preserve"> </w:t>
      </w:r>
    </w:p>
    <w:p w14:paraId="5153087C"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7979656B"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van Dijk, J. (2002). A framework for digital divide research. </w:t>
      </w:r>
      <w:r w:rsidRPr="00235B80">
        <w:rPr>
          <w:rFonts w:ascii="Times New Roman" w:eastAsia="Times New Roman" w:hAnsi="Times New Roman" w:cs="Times New Roman"/>
          <w:i/>
          <w:color w:val="000000"/>
          <w:lang w:val="en-US"/>
        </w:rPr>
        <w:t>The Electronic Journal of Communication, 12</w:t>
      </w:r>
      <w:r w:rsidRPr="00235B80">
        <w:rPr>
          <w:rFonts w:ascii="Times New Roman" w:eastAsia="Times New Roman" w:hAnsi="Times New Roman" w:cs="Times New Roman"/>
          <w:color w:val="000000"/>
          <w:lang w:val="en-US"/>
        </w:rPr>
        <w:t xml:space="preserve">(1), 7. </w:t>
      </w:r>
      <w:hyperlink r:id="rId53" w:history="1">
        <w:r w:rsidRPr="00235B80">
          <w:rPr>
            <w:rStyle w:val="Hyperlink"/>
            <w:rFonts w:ascii="Times New Roman" w:eastAsia="Times New Roman" w:hAnsi="Times New Roman" w:cs="Times New Roman"/>
            <w:lang w:val="en-US"/>
          </w:rPr>
          <w:t>http://www.cios.org/EJCPUBLIC/012/1/01211.html</w:t>
        </w:r>
      </w:hyperlink>
      <w:r w:rsidRPr="00235B80">
        <w:rPr>
          <w:rFonts w:ascii="Times New Roman" w:eastAsia="Times New Roman" w:hAnsi="Times New Roman" w:cs="Times New Roman"/>
          <w:color w:val="000000"/>
          <w:lang w:val="en-US"/>
        </w:rPr>
        <w:t xml:space="preserve"> </w:t>
      </w:r>
    </w:p>
    <w:p w14:paraId="4134BB0C"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1EF89AE5" w14:textId="4DE09A4C"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lastRenderedPageBreak/>
        <w:t xml:space="preserve">van Dijk, J. A. G. M. (2006). Digital divide research, achievements and shortcomings. </w:t>
      </w:r>
      <w:r w:rsidRPr="00235B80">
        <w:rPr>
          <w:rFonts w:ascii="Times New Roman" w:eastAsia="Times New Roman" w:hAnsi="Times New Roman" w:cs="Times New Roman"/>
          <w:i/>
          <w:color w:val="000000"/>
          <w:lang w:val="en-US"/>
        </w:rPr>
        <w:t>Poetics, 34</w:t>
      </w:r>
      <w:r w:rsidRPr="00235B80">
        <w:rPr>
          <w:rFonts w:ascii="Times New Roman" w:eastAsia="Times New Roman" w:hAnsi="Times New Roman" w:cs="Times New Roman"/>
          <w:color w:val="000000"/>
          <w:lang w:val="en-US"/>
        </w:rPr>
        <w:t xml:space="preserve">(4), 221-235. </w:t>
      </w:r>
      <w:hyperlink r:id="rId54" w:history="1">
        <w:r w:rsidRPr="00235B80">
          <w:rPr>
            <w:rStyle w:val="Hyperlink"/>
            <w:rFonts w:ascii="Times New Roman" w:eastAsia="Times New Roman" w:hAnsi="Times New Roman" w:cs="Times New Roman"/>
            <w:lang w:val="en-US"/>
          </w:rPr>
          <w:t>https://doi.org/https://doi.org/10.1016/j.poetic.2006.05.004</w:t>
        </w:r>
      </w:hyperlink>
      <w:r w:rsidRPr="00235B80">
        <w:rPr>
          <w:rFonts w:ascii="Times New Roman" w:eastAsia="Times New Roman" w:hAnsi="Times New Roman" w:cs="Times New Roman"/>
          <w:color w:val="000000"/>
          <w:lang w:val="en-US"/>
        </w:rPr>
        <w:t xml:space="preserve"> </w:t>
      </w:r>
    </w:p>
    <w:p w14:paraId="425B0D5F"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A1CC89C"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Wang, L., &amp; Liu, C. (2017). The mobile internet underclass: reality or hyperbole? </w:t>
      </w:r>
      <w:r w:rsidRPr="00235B80">
        <w:rPr>
          <w:rFonts w:ascii="Times New Roman" w:eastAsia="Times New Roman" w:hAnsi="Times New Roman" w:cs="Times New Roman"/>
          <w:i/>
          <w:color w:val="000000"/>
          <w:lang w:val="en-US"/>
        </w:rPr>
        <w:t>Journal of Information Science, 44</w:t>
      </w:r>
      <w:r w:rsidRPr="00235B80">
        <w:rPr>
          <w:rFonts w:ascii="Times New Roman" w:eastAsia="Times New Roman" w:hAnsi="Times New Roman" w:cs="Times New Roman"/>
          <w:color w:val="000000"/>
          <w:lang w:val="en-US"/>
        </w:rPr>
        <w:t xml:space="preserve">(5), 569-579. </w:t>
      </w:r>
      <w:hyperlink r:id="rId55" w:history="1">
        <w:r w:rsidRPr="00235B80">
          <w:rPr>
            <w:rStyle w:val="Hyperlink"/>
            <w:rFonts w:ascii="Times New Roman" w:eastAsia="Times New Roman" w:hAnsi="Times New Roman" w:cs="Times New Roman"/>
            <w:lang w:val="en-US"/>
          </w:rPr>
          <w:t>https://doi.org/https://doi.org/10.1177/0165551517690083</w:t>
        </w:r>
      </w:hyperlink>
      <w:r w:rsidRPr="00235B80">
        <w:rPr>
          <w:rFonts w:ascii="Times New Roman" w:eastAsia="Times New Roman" w:hAnsi="Times New Roman" w:cs="Times New Roman"/>
          <w:color w:val="000000"/>
          <w:lang w:val="en-US"/>
        </w:rPr>
        <w:t xml:space="preserve"> </w:t>
      </w:r>
    </w:p>
    <w:p w14:paraId="7D48CD01"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6CED9260"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Warschauer</w:t>
      </w:r>
      <w:proofErr w:type="spellEnd"/>
      <w:r w:rsidRPr="00235B80">
        <w:rPr>
          <w:rFonts w:ascii="Times New Roman" w:eastAsia="Times New Roman" w:hAnsi="Times New Roman" w:cs="Times New Roman"/>
          <w:color w:val="000000"/>
          <w:lang w:val="en-US"/>
        </w:rPr>
        <w:t xml:space="preserve">, M., Zheng, B., </w:t>
      </w:r>
      <w:proofErr w:type="spellStart"/>
      <w:r w:rsidRPr="00235B80">
        <w:rPr>
          <w:rFonts w:ascii="Times New Roman" w:eastAsia="Times New Roman" w:hAnsi="Times New Roman" w:cs="Times New Roman"/>
          <w:color w:val="000000"/>
          <w:lang w:val="en-US"/>
        </w:rPr>
        <w:t>Niiya</w:t>
      </w:r>
      <w:proofErr w:type="spellEnd"/>
      <w:r w:rsidRPr="00235B80">
        <w:rPr>
          <w:rFonts w:ascii="Times New Roman" w:eastAsia="Times New Roman" w:hAnsi="Times New Roman" w:cs="Times New Roman"/>
          <w:color w:val="000000"/>
          <w:lang w:val="en-US"/>
        </w:rPr>
        <w:t xml:space="preserve">, M., </w:t>
      </w:r>
      <w:proofErr w:type="spellStart"/>
      <w:r w:rsidRPr="00235B80">
        <w:rPr>
          <w:rFonts w:ascii="Times New Roman" w:eastAsia="Times New Roman" w:hAnsi="Times New Roman" w:cs="Times New Roman"/>
          <w:color w:val="000000"/>
          <w:lang w:val="en-US"/>
        </w:rPr>
        <w:t>Cotten</w:t>
      </w:r>
      <w:proofErr w:type="spellEnd"/>
      <w:r w:rsidRPr="00235B80">
        <w:rPr>
          <w:rFonts w:ascii="Times New Roman" w:eastAsia="Times New Roman" w:hAnsi="Times New Roman" w:cs="Times New Roman"/>
          <w:color w:val="000000"/>
          <w:lang w:val="en-US"/>
        </w:rPr>
        <w:t xml:space="preserve">, S., &amp; Farkas, G. (2014). Balancing the one-to-one equation: equity and access in three laptop programs. </w:t>
      </w:r>
      <w:r w:rsidRPr="00235B80">
        <w:rPr>
          <w:rFonts w:ascii="Times New Roman" w:eastAsia="Times New Roman" w:hAnsi="Times New Roman" w:cs="Times New Roman"/>
          <w:i/>
          <w:color w:val="000000"/>
          <w:lang w:val="en-US"/>
        </w:rPr>
        <w:t>Equity &amp; Excellence in Education, 47</w:t>
      </w:r>
      <w:r w:rsidRPr="00235B80">
        <w:rPr>
          <w:rFonts w:ascii="Times New Roman" w:eastAsia="Times New Roman" w:hAnsi="Times New Roman" w:cs="Times New Roman"/>
          <w:color w:val="000000"/>
          <w:lang w:val="en-US"/>
        </w:rPr>
        <w:t xml:space="preserve">(1), 46-62. </w:t>
      </w:r>
      <w:hyperlink r:id="rId56" w:history="1">
        <w:r w:rsidRPr="00235B80">
          <w:rPr>
            <w:rStyle w:val="Hyperlink"/>
            <w:rFonts w:ascii="Times New Roman" w:eastAsia="Times New Roman" w:hAnsi="Times New Roman" w:cs="Times New Roman"/>
            <w:lang w:val="en-US"/>
          </w:rPr>
          <w:t>https://doi.org/https://doi.org/10.1080/10665684.2014.866871</w:t>
        </w:r>
      </w:hyperlink>
      <w:r w:rsidRPr="00235B80">
        <w:rPr>
          <w:rFonts w:ascii="Times New Roman" w:eastAsia="Times New Roman" w:hAnsi="Times New Roman" w:cs="Times New Roman"/>
          <w:color w:val="000000"/>
          <w:lang w:val="en-US"/>
        </w:rPr>
        <w:t xml:space="preserve"> </w:t>
      </w:r>
    </w:p>
    <w:p w14:paraId="7115662E"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5CFDF5E9"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Yuen, A. H. K., Park, J., Chen, L., &amp; Cheng, M. (2018). The significance of cultural capital and parental mediation for digital inequity. </w:t>
      </w:r>
      <w:r w:rsidRPr="00235B80">
        <w:rPr>
          <w:rFonts w:ascii="Times New Roman" w:eastAsia="Times New Roman" w:hAnsi="Times New Roman" w:cs="Times New Roman"/>
          <w:i/>
          <w:color w:val="000000"/>
          <w:lang w:val="en-US"/>
        </w:rPr>
        <w:t>new media &amp; society, 20</w:t>
      </w:r>
      <w:r w:rsidRPr="00235B80">
        <w:rPr>
          <w:rFonts w:ascii="Times New Roman" w:eastAsia="Times New Roman" w:hAnsi="Times New Roman" w:cs="Times New Roman"/>
          <w:color w:val="000000"/>
          <w:lang w:val="en-US"/>
        </w:rPr>
        <w:t xml:space="preserve">(2), 599-617. </w:t>
      </w:r>
      <w:hyperlink r:id="rId57" w:history="1">
        <w:r w:rsidRPr="00235B80">
          <w:rPr>
            <w:rStyle w:val="Hyperlink"/>
            <w:rFonts w:ascii="Times New Roman" w:eastAsia="Times New Roman" w:hAnsi="Times New Roman" w:cs="Times New Roman"/>
            <w:lang w:val="en-US"/>
          </w:rPr>
          <w:t>https://doi.org/10.1177/1461444816667084</w:t>
        </w:r>
      </w:hyperlink>
      <w:r w:rsidRPr="00235B80">
        <w:rPr>
          <w:rFonts w:ascii="Times New Roman" w:eastAsia="Times New Roman" w:hAnsi="Times New Roman" w:cs="Times New Roman"/>
          <w:color w:val="000000"/>
          <w:lang w:val="en-US"/>
        </w:rPr>
        <w:t xml:space="preserve"> </w:t>
      </w:r>
    </w:p>
    <w:p w14:paraId="15CFC796"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5F287419"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Zheng, B., </w:t>
      </w:r>
      <w:proofErr w:type="spellStart"/>
      <w:r w:rsidRPr="00235B80">
        <w:rPr>
          <w:rFonts w:ascii="Times New Roman" w:eastAsia="Times New Roman" w:hAnsi="Times New Roman" w:cs="Times New Roman"/>
          <w:color w:val="000000"/>
          <w:lang w:val="en-US"/>
        </w:rPr>
        <w:t>Warschauer</w:t>
      </w:r>
      <w:proofErr w:type="spellEnd"/>
      <w:r w:rsidRPr="00235B80">
        <w:rPr>
          <w:rFonts w:ascii="Times New Roman" w:eastAsia="Times New Roman" w:hAnsi="Times New Roman" w:cs="Times New Roman"/>
          <w:color w:val="000000"/>
          <w:lang w:val="en-US"/>
        </w:rPr>
        <w:t xml:space="preserve">, M., Lin, C.-H., &amp; Chang, C. (2016). Learning in one-to-one laptop environments: a meta-analysis and research synthesis. </w:t>
      </w:r>
      <w:r w:rsidRPr="00235B80">
        <w:rPr>
          <w:rFonts w:ascii="Times New Roman" w:eastAsia="Times New Roman" w:hAnsi="Times New Roman" w:cs="Times New Roman"/>
          <w:i/>
          <w:color w:val="000000"/>
          <w:lang w:val="en-US"/>
        </w:rPr>
        <w:t>Review of Educational Research, 86</w:t>
      </w:r>
      <w:r w:rsidRPr="00235B80">
        <w:rPr>
          <w:rFonts w:ascii="Times New Roman" w:eastAsia="Times New Roman" w:hAnsi="Times New Roman" w:cs="Times New Roman"/>
          <w:color w:val="000000"/>
          <w:lang w:val="en-US"/>
        </w:rPr>
        <w:t xml:space="preserve">(4), 1052-1084. </w:t>
      </w:r>
      <w:hyperlink r:id="rId58" w:history="1">
        <w:r w:rsidRPr="00235B80">
          <w:rPr>
            <w:rStyle w:val="Hyperlink"/>
            <w:rFonts w:ascii="Times New Roman" w:eastAsia="Times New Roman" w:hAnsi="Times New Roman" w:cs="Times New Roman"/>
            <w:lang w:val="en-US"/>
          </w:rPr>
          <w:t>https://doi.org/10.3102/0034654316628645</w:t>
        </w:r>
      </w:hyperlink>
      <w:r w:rsidRPr="00235B80">
        <w:rPr>
          <w:rFonts w:ascii="Times New Roman" w:eastAsia="Times New Roman" w:hAnsi="Times New Roman" w:cs="Times New Roman"/>
          <w:color w:val="000000"/>
          <w:lang w:val="en-US"/>
        </w:rPr>
        <w:t xml:space="preserve"> </w:t>
      </w:r>
    </w:p>
    <w:p w14:paraId="2DFABC2C"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0711BCB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Zilka</w:t>
      </w:r>
      <w:proofErr w:type="spellEnd"/>
      <w:r w:rsidRPr="00235B80">
        <w:rPr>
          <w:rFonts w:ascii="Times New Roman" w:eastAsia="Times New Roman" w:hAnsi="Times New Roman" w:cs="Times New Roman"/>
          <w:color w:val="000000"/>
          <w:lang w:val="en-US"/>
        </w:rPr>
        <w:t xml:space="preserve">, G. C. (2016). Reducing the digital divide among children who received desktop or hybrid computers for the home. </w:t>
      </w:r>
      <w:r w:rsidRPr="00235B80">
        <w:rPr>
          <w:rFonts w:ascii="Times New Roman" w:eastAsia="Times New Roman" w:hAnsi="Times New Roman" w:cs="Times New Roman"/>
          <w:i/>
          <w:color w:val="000000"/>
          <w:lang w:val="en-US"/>
        </w:rPr>
        <w:t>Journal of Information Technology Education: Research, 15</w:t>
      </w:r>
      <w:r w:rsidRPr="00235B80">
        <w:rPr>
          <w:rFonts w:ascii="Times New Roman" w:eastAsia="Times New Roman" w:hAnsi="Times New Roman" w:cs="Times New Roman"/>
          <w:color w:val="000000"/>
          <w:lang w:val="en-US"/>
        </w:rPr>
        <w:t xml:space="preserve">, 233-251. </w:t>
      </w:r>
      <w:hyperlink r:id="rId59" w:history="1">
        <w:r w:rsidRPr="00235B80">
          <w:rPr>
            <w:rStyle w:val="Hyperlink"/>
            <w:rFonts w:ascii="Times New Roman" w:eastAsia="Times New Roman" w:hAnsi="Times New Roman" w:cs="Times New Roman"/>
            <w:lang w:val="en-US"/>
          </w:rPr>
          <w:t>https://doi.org/https://doi.org/10.28945/3519</w:t>
        </w:r>
      </w:hyperlink>
      <w:r w:rsidRPr="00235B80">
        <w:rPr>
          <w:rFonts w:ascii="Times New Roman" w:eastAsia="Times New Roman" w:hAnsi="Times New Roman" w:cs="Times New Roman"/>
          <w:color w:val="000000"/>
          <w:lang w:val="en-US"/>
        </w:rPr>
        <w:t xml:space="preserve"> </w:t>
      </w:r>
    </w:p>
    <w:p w14:paraId="4C84B700" w14:textId="68E52672" w:rsidR="002273A7" w:rsidRDefault="002273A7" w:rsidP="00235B80">
      <w:pPr>
        <w:pBdr>
          <w:top w:val="nil"/>
          <w:left w:val="nil"/>
          <w:bottom w:val="nil"/>
          <w:right w:val="nil"/>
          <w:between w:val="nil"/>
        </w:pBdr>
        <w:rPr>
          <w:rFonts w:ascii="Times New Roman" w:eastAsia="Times New Roman" w:hAnsi="Times New Roman" w:cs="Times New Roman"/>
        </w:rPr>
      </w:pPr>
    </w:p>
    <w:sectPr w:rsidR="002273A7">
      <w:headerReference w:type="even" r:id="rId60"/>
      <w:headerReference w:type="default" r:id="rId61"/>
      <w:footerReference w:type="default" r:id="rId62"/>
      <w:headerReference w:type="first" r:id="rId63"/>
      <w:pgSz w:w="11900" w:h="16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B6E0E" w14:textId="77777777" w:rsidR="00BB062E" w:rsidRDefault="00BB062E">
      <w:pPr>
        <w:spacing w:after="0"/>
      </w:pPr>
      <w:r>
        <w:separator/>
      </w:r>
    </w:p>
  </w:endnote>
  <w:endnote w:type="continuationSeparator" w:id="0">
    <w:p w14:paraId="241BDE1A" w14:textId="77777777" w:rsidR="00BB062E" w:rsidRDefault="00BB06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142F" w14:textId="77777777" w:rsidR="00235B80" w:rsidRDefault="00235B80">
    <w:pPr>
      <w:pBdr>
        <w:top w:val="nil"/>
        <w:left w:val="nil"/>
        <w:bottom w:val="nil"/>
        <w:right w:val="nil"/>
        <w:between w:val="nil"/>
      </w:pBdr>
      <w:tabs>
        <w:tab w:val="center" w:pos="4320"/>
        <w:tab w:val="right" w:pos="8640"/>
      </w:tabs>
      <w:spacing w:after="0"/>
      <w:jc w:val="center"/>
    </w:pPr>
    <w:r>
      <w:fldChar w:fldCharType="begin"/>
    </w:r>
    <w:r>
      <w:instrText>PAGE</w:instrText>
    </w:r>
    <w:r>
      <w:fldChar w:fldCharType="separate"/>
    </w:r>
    <w:r>
      <w:rPr>
        <w:noProof/>
      </w:rPr>
      <w:t>1</w:t>
    </w:r>
    <w:r>
      <w:fldChar w:fldCharType="end"/>
    </w:r>
  </w:p>
  <w:p w14:paraId="0C9D44DD" w14:textId="77777777" w:rsidR="00235B80" w:rsidRDefault="00235B80">
    <w:pPr>
      <w:pBdr>
        <w:top w:val="nil"/>
        <w:left w:val="nil"/>
        <w:bottom w:val="nil"/>
        <w:right w:val="nil"/>
        <w:between w:val="nil"/>
      </w:pBdr>
      <w:tabs>
        <w:tab w:val="center" w:pos="4320"/>
        <w:tab w:val="right" w:pos="8640"/>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6DCF8" w14:textId="77777777" w:rsidR="00BB062E" w:rsidRDefault="00BB062E">
      <w:pPr>
        <w:spacing w:after="0"/>
      </w:pPr>
      <w:r>
        <w:separator/>
      </w:r>
    </w:p>
  </w:footnote>
  <w:footnote w:type="continuationSeparator" w:id="0">
    <w:p w14:paraId="17BB2C75" w14:textId="77777777" w:rsidR="00BB062E" w:rsidRDefault="00BB06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EF493" w14:textId="77777777" w:rsidR="00235B80" w:rsidRDefault="00235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3622" w14:textId="2F6B3412" w:rsidR="00235B80" w:rsidRDefault="00337611">
    <w:pPr>
      <w:pStyle w:val="Heading2"/>
      <w:pBdr>
        <w:top w:val="nil"/>
        <w:left w:val="nil"/>
        <w:bottom w:val="nil"/>
        <w:right w:val="nil"/>
        <w:between w:val="nil"/>
      </w:pBdr>
      <w:spacing w:before="708"/>
      <w:ind w:left="360" w:right="240" w:hanging="360"/>
      <w:rPr>
        <w:rFonts w:ascii="Times New Roman" w:eastAsia="Times New Roman" w:hAnsi="Times New Roman" w:cs="Times New Roman"/>
        <w:smallCaps/>
        <w:color w:val="111111"/>
        <w:sz w:val="22"/>
        <w:szCs w:val="22"/>
      </w:rPr>
    </w:pPr>
    <w:r>
      <w:rPr>
        <w:noProof/>
      </w:rPr>
      <w:drawing>
        <wp:anchor distT="0" distB="0" distL="114300" distR="114300" simplePos="0" relativeHeight="251658240" behindDoc="0" locked="0" layoutInCell="1" hidden="0" allowOverlap="1" wp14:anchorId="71F52C42" wp14:editId="20613753">
          <wp:simplePos x="0" y="0"/>
          <wp:positionH relativeFrom="column">
            <wp:posOffset>4478716</wp:posOffset>
          </wp:positionH>
          <wp:positionV relativeFrom="paragraph">
            <wp:posOffset>183515</wp:posOffset>
          </wp:positionV>
          <wp:extent cx="496570" cy="4572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96570" cy="457200"/>
                  </a:xfrm>
                  <a:prstGeom prst="rect">
                    <a:avLst/>
                  </a:prstGeom>
                  <a:ln/>
                </pic:spPr>
              </pic:pic>
            </a:graphicData>
          </a:graphic>
        </wp:anchor>
      </w:drawing>
    </w:r>
    <w:r w:rsidR="00235B80">
      <w:rPr>
        <w:rFonts w:ascii="Times New Roman" w:eastAsia="Times New Roman" w:hAnsi="Times New Roman" w:cs="Times New Roman"/>
        <w:i/>
        <w:sz w:val="22"/>
        <w:szCs w:val="22"/>
      </w:rPr>
      <w:t xml:space="preserve">Australian Educational Computing, </w:t>
    </w:r>
    <w:r w:rsidR="00235B80">
      <w:rPr>
        <w:rFonts w:ascii="Times New Roman" w:eastAsia="Times New Roman" w:hAnsi="Times New Roman" w:cs="Times New Roman"/>
        <w:i/>
        <w:smallCaps/>
        <w:color w:val="111111"/>
        <w:sz w:val="22"/>
        <w:szCs w:val="22"/>
      </w:rPr>
      <w:t>2020, 35</w:t>
    </w:r>
    <w:r w:rsidR="00235B80">
      <w:rPr>
        <w:rFonts w:ascii="Times New Roman" w:eastAsia="Times New Roman" w:hAnsi="Times New Roman" w:cs="Times New Roman"/>
        <w:smallCaps/>
        <w:color w:val="111111"/>
        <w:sz w:val="22"/>
        <w:szCs w:val="22"/>
      </w:rPr>
      <w:t>(1).</w:t>
    </w:r>
  </w:p>
  <w:p w14:paraId="575DA638" w14:textId="77777777" w:rsidR="00235B80" w:rsidRDefault="00235B80">
    <w:pPr>
      <w:pBdr>
        <w:top w:val="nil"/>
        <w:left w:val="nil"/>
        <w:bottom w:val="nil"/>
        <w:right w:val="nil"/>
        <w:between w:val="nil"/>
      </w:pBdr>
      <w:tabs>
        <w:tab w:val="center" w:pos="4320"/>
        <w:tab w:val="right" w:pos="864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CB7D2" w14:textId="77777777" w:rsidR="00235B80" w:rsidRDefault="00235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02D31"/>
    <w:multiLevelType w:val="multilevel"/>
    <w:tmpl w:val="EF38D6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2385554"/>
    <w:multiLevelType w:val="multilevel"/>
    <w:tmpl w:val="83C6AF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604A94"/>
    <w:multiLevelType w:val="multilevel"/>
    <w:tmpl w:val="88385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BF202E"/>
    <w:multiLevelType w:val="multilevel"/>
    <w:tmpl w:val="949239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3A83EAA"/>
    <w:multiLevelType w:val="multilevel"/>
    <w:tmpl w:val="7BC846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F3A6E3D"/>
    <w:multiLevelType w:val="multilevel"/>
    <w:tmpl w:val="C804F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6D0C6D"/>
    <w:multiLevelType w:val="multilevel"/>
    <w:tmpl w:val="CDFE49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5"/>
  <w:displayBackgroundShape/>
  <w:activeWritingStyle w:appName="MSWord" w:lang="en-US" w:vendorID="64" w:dllVersion="4096" w:nlCheck="1" w:checkStyle="1"/>
  <w:activeWritingStyle w:appName="MSWord" w:lang="en-AU"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A7"/>
    <w:rsid w:val="002273A7"/>
    <w:rsid w:val="00235B80"/>
    <w:rsid w:val="0024233B"/>
    <w:rsid w:val="00337611"/>
    <w:rsid w:val="0068294B"/>
    <w:rsid w:val="00B62FEB"/>
    <w:rsid w:val="00BB062E"/>
    <w:rsid w:val="00EB57BD"/>
    <w:rsid w:val="00EF60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31DDC"/>
  <w15:docId w15:val="{DEA5FB20-9311-9849-8EB6-4FBB0218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35B8A"/>
      <w:sz w:val="32"/>
      <w:szCs w:val="32"/>
    </w:rPr>
  </w:style>
  <w:style w:type="paragraph" w:styleId="Heading2">
    <w:name w:val="heading 2"/>
    <w:basedOn w:val="Normal"/>
    <w:next w:val="Normal"/>
    <w:uiPriority w:val="9"/>
    <w:unhideWhenUsed/>
    <w:qFormat/>
    <w:pPr>
      <w:keepNext/>
      <w:keepLines/>
      <w:widowControl w:val="0"/>
      <w:spacing w:before="240" w:after="120"/>
      <w:jc w:val="both"/>
      <w:outlineLvl w:val="1"/>
    </w:pPr>
    <w:rPr>
      <w:rFonts w:ascii="Arial" w:eastAsia="Arial" w:hAnsi="Arial" w:cs="Arial"/>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EB57BD"/>
    <w:pPr>
      <w:tabs>
        <w:tab w:val="center" w:pos="4680"/>
        <w:tab w:val="right" w:pos="9360"/>
      </w:tabs>
      <w:spacing w:after="0"/>
    </w:pPr>
  </w:style>
  <w:style w:type="character" w:customStyle="1" w:styleId="HeaderChar">
    <w:name w:val="Header Char"/>
    <w:basedOn w:val="DefaultParagraphFont"/>
    <w:link w:val="Header"/>
    <w:uiPriority w:val="99"/>
    <w:rsid w:val="00EB57BD"/>
  </w:style>
  <w:style w:type="paragraph" w:styleId="Footer">
    <w:name w:val="footer"/>
    <w:basedOn w:val="Normal"/>
    <w:link w:val="FooterChar"/>
    <w:uiPriority w:val="99"/>
    <w:unhideWhenUsed/>
    <w:rsid w:val="00EB57BD"/>
    <w:pPr>
      <w:tabs>
        <w:tab w:val="center" w:pos="4680"/>
        <w:tab w:val="right" w:pos="9360"/>
      </w:tabs>
      <w:spacing w:after="0"/>
    </w:pPr>
  </w:style>
  <w:style w:type="character" w:customStyle="1" w:styleId="FooterChar">
    <w:name w:val="Footer Char"/>
    <w:basedOn w:val="DefaultParagraphFont"/>
    <w:link w:val="Footer"/>
    <w:uiPriority w:val="99"/>
    <w:rsid w:val="00EB57BD"/>
  </w:style>
  <w:style w:type="character" w:styleId="Hyperlink">
    <w:name w:val="Hyperlink"/>
    <w:basedOn w:val="DefaultParagraphFont"/>
    <w:uiPriority w:val="99"/>
    <w:unhideWhenUsed/>
    <w:rsid w:val="00235B80"/>
    <w:rPr>
      <w:color w:val="0000FF" w:themeColor="hyperlink"/>
      <w:u w:val="single"/>
    </w:rPr>
  </w:style>
  <w:style w:type="character" w:styleId="UnresolvedMention">
    <w:name w:val="Unresolved Mention"/>
    <w:basedOn w:val="DefaultParagraphFont"/>
    <w:uiPriority w:val="99"/>
    <w:semiHidden/>
    <w:unhideWhenUsed/>
    <w:rsid w:val="00235B80"/>
    <w:rPr>
      <w:color w:val="605E5C"/>
      <w:shd w:val="clear" w:color="auto" w:fill="E1DFDD"/>
    </w:rPr>
  </w:style>
  <w:style w:type="paragraph" w:styleId="NormalWeb">
    <w:name w:val="Normal (Web)"/>
    <w:basedOn w:val="Normal"/>
    <w:uiPriority w:val="99"/>
    <w:semiHidden/>
    <w:unhideWhenUsed/>
    <w:rsid w:val="0068294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8294B"/>
    <w:rPr>
      <w:i/>
      <w:iCs/>
    </w:rPr>
  </w:style>
  <w:style w:type="character" w:styleId="Strong">
    <w:name w:val="Strong"/>
    <w:basedOn w:val="DefaultParagraphFont"/>
    <w:uiPriority w:val="22"/>
    <w:qFormat/>
    <w:rsid w:val="006829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945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https://doi.org/10.1007/s10833-016-9271-y" TargetMode="External"/><Relationship Id="rId21" Type="http://schemas.openxmlformats.org/officeDocument/2006/relationships/hyperlink" Target="https://doi.org/10.1080/13676261.2018.1559283" TargetMode="External"/><Relationship Id="rId34" Type="http://schemas.openxmlformats.org/officeDocument/2006/relationships/hyperlink" Target="http://journal.acce.edu.au/index.php/AEC/article/view/49" TargetMode="External"/><Relationship Id="rId42" Type="http://schemas.openxmlformats.org/officeDocument/2006/relationships/hyperlink" Target="https://pdfs.semanticscholar.org/c497/35bd0ebfd5427e965ea79caed127b916d5c2.pdf" TargetMode="External"/><Relationship Id="rId47" Type="http://schemas.openxmlformats.org/officeDocument/2006/relationships/hyperlink" Target="https://www.teachermagazine.com.au/columnists/sue-thomson/what-pisa-tells-us-about-our-preparedness-for-remote-learning" TargetMode="External"/><Relationship Id="rId50" Type="http://schemas.openxmlformats.org/officeDocument/2006/relationships/hyperlink" Target="https://doi.org/10.1177/1461444810386774" TargetMode="External"/><Relationship Id="rId55" Type="http://schemas.openxmlformats.org/officeDocument/2006/relationships/hyperlink" Target="https://doi.org/https://doi.org/10.1177/0165551517690083" TargetMode="External"/><Relationship Id="rId63" Type="http://schemas.openxmlformats.org/officeDocument/2006/relationships/header" Target="header3.xml"/><Relationship Id="rId7" Type="http://schemas.openxmlformats.org/officeDocument/2006/relationships/hyperlink" Target="https://doi.org/DOI" TargetMode="External"/><Relationship Id="rId2" Type="http://schemas.openxmlformats.org/officeDocument/2006/relationships/styles" Target="styles.xml"/><Relationship Id="rId16" Type="http://schemas.openxmlformats.org/officeDocument/2006/relationships/hyperlink" Target="https://doi.org/https://doi.org/10.1300/J025v24n03_02" TargetMode="External"/><Relationship Id="rId29" Type="http://schemas.openxmlformats.org/officeDocument/2006/relationships/hyperlink" Target="https://doi.org/https://doi.org/10.2190/EC.46.1.a" TargetMode="External"/><Relationship Id="rId11" Type="http://schemas.openxmlformats.org/officeDocument/2006/relationships/hyperlink" Target="https://doi.org/https://doi.org/10.1177/1461444817725918" TargetMode="External"/><Relationship Id="rId24" Type="http://schemas.openxmlformats.org/officeDocument/2006/relationships/hyperlink" Target="https://doi.org/https://doi.org/10.1111/j.1468-2885.2012.01416.x" TargetMode="External"/><Relationship Id="rId32" Type="http://schemas.openxmlformats.org/officeDocument/2006/relationships/hyperlink" Target="https://doi.org/doi:https://doi.org/10.1787/9789264076044-en" TargetMode="External"/><Relationship Id="rId37" Type="http://schemas.openxmlformats.org/officeDocument/2006/relationships/hyperlink" Target="https://doi.org/https://doi.org/10.1177/1461444819869604" TargetMode="External"/><Relationship Id="rId40" Type="http://schemas.openxmlformats.org/officeDocument/2006/relationships/hyperlink" Target="https://doi.org/https://doi.org/10.1007/978-3-319-71054-9_67" TargetMode="External"/><Relationship Id="rId45" Type="http://schemas.openxmlformats.org/officeDocument/2006/relationships/hyperlink" Target="https://doi.org/https://doi.org/10.1080/00220671003767615" TargetMode="External"/><Relationship Id="rId53" Type="http://schemas.openxmlformats.org/officeDocument/2006/relationships/hyperlink" Target="http://www.cios.org/EJCPUBLIC/012/1/01211.html" TargetMode="External"/><Relationship Id="rId58" Type="http://schemas.openxmlformats.org/officeDocument/2006/relationships/hyperlink" Target="https://doi.org/10.3102/0034654316628645" TargetMode="Externa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www.nap.edu.au/docs/default-source/default-document-library/2017napictlreport_final.pdf?sfvrsn=2" TargetMode="External"/><Relationship Id="rId14" Type="http://schemas.openxmlformats.org/officeDocument/2006/relationships/hyperlink" Target="https://doi.org/https://doi.org/10.1080/15391523.2015.1103147" TargetMode="External"/><Relationship Id="rId22" Type="http://schemas.openxmlformats.org/officeDocument/2006/relationships/hyperlink" Target="https://doi.org/https://doi.org/10.5210/fm.v7i4.942" TargetMode="External"/><Relationship Id="rId27" Type="http://schemas.openxmlformats.org/officeDocument/2006/relationships/hyperlink" Target="http://journal.acce.edu.au/index.php/AEC/article/view/54" TargetMode="External"/><Relationship Id="rId30" Type="http://schemas.openxmlformats.org/officeDocument/2006/relationships/hyperlink" Target="https://doi.org/10.1080/01972243.2014.944726" TargetMode="External"/><Relationship Id="rId35" Type="http://schemas.openxmlformats.org/officeDocument/2006/relationships/hyperlink" Target="https://doi.org/https://doi.org/10.1016/j.tele.2018.10.006" TargetMode="External"/><Relationship Id="rId43" Type="http://schemas.openxmlformats.org/officeDocument/2006/relationships/hyperlink" Target="https://doi.org/https://doi.org/10.1080/03054985.2014.933005" TargetMode="External"/><Relationship Id="rId48" Type="http://schemas.openxmlformats.org/officeDocument/2006/relationships/hyperlink" Target="https://doi.org/https://doi.org/10.1177/1461444810369245" TargetMode="External"/><Relationship Id="rId56" Type="http://schemas.openxmlformats.org/officeDocument/2006/relationships/hyperlink" Target="https://doi.org/https://doi.org/10.1080/10665684.2014.866871" TargetMode="External"/><Relationship Id="rId64" Type="http://schemas.openxmlformats.org/officeDocument/2006/relationships/fontTable" Target="fontTable.xml"/><Relationship Id="rId8" Type="http://schemas.openxmlformats.org/officeDocument/2006/relationships/hyperlink" Target="https://www.fi.ncsu.edu/wpcontent/uploads/2013/05/laptop-initiatives-summary-ofresearch-across-seven-states.pdf" TargetMode="External"/><Relationship Id="rId51" Type="http://schemas.openxmlformats.org/officeDocument/2006/relationships/hyperlink" Target="https://doi.org/https://doi.org/10.1108/S2050-206020150000010002" TargetMode="External"/><Relationship Id="rId3" Type="http://schemas.openxmlformats.org/officeDocument/2006/relationships/settings" Target="settings.xml"/><Relationship Id="rId12" Type="http://schemas.openxmlformats.org/officeDocument/2006/relationships/hyperlink" Target="https://doi.org/10.1080/09500693.2014.982229" TargetMode="External"/><Relationship Id="rId17" Type="http://schemas.openxmlformats.org/officeDocument/2006/relationships/hyperlink" Target="https://acce.edu.au/past-issues/" TargetMode="External"/><Relationship Id="rId25" Type="http://schemas.openxmlformats.org/officeDocument/2006/relationships/hyperlink" Target="https://doi.org/10.1177/1461444816634676" TargetMode="External"/><Relationship Id="rId33" Type="http://schemas.openxmlformats.org/officeDocument/2006/relationships/hyperlink" Target="https://doi.org/https://doi.org/10.1080/15391523.2006.10782463" TargetMode="External"/><Relationship Id="rId38" Type="http://schemas.openxmlformats.org/officeDocument/2006/relationships/hyperlink" Target="https://doi.org/https://doi.org/10.1177/0894439320909446" TargetMode="External"/><Relationship Id="rId46" Type="http://schemas.openxmlformats.org/officeDocument/2006/relationships/hyperlink" Target="https://doi.org/10.1177/1440783311434856" TargetMode="External"/><Relationship Id="rId59" Type="http://schemas.openxmlformats.org/officeDocument/2006/relationships/hyperlink" Target="https://doi.org/https://doi.org/10.28945/3519" TargetMode="External"/><Relationship Id="rId20" Type="http://schemas.openxmlformats.org/officeDocument/2006/relationships/hyperlink" Target="https://doi.org/https://doi.org/10.31211/interacoes.n34.2018.a4" TargetMode="External"/><Relationship Id="rId41" Type="http://schemas.openxmlformats.org/officeDocument/2006/relationships/hyperlink" Target="https://doi.org/10.1177/1461444804042519" TargetMode="External"/><Relationship Id="rId54" Type="http://schemas.openxmlformats.org/officeDocument/2006/relationships/hyperlink" Target="https://doi.org/https://doi.org/10.1016/j.poetic.2006.05.004"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bc.net.au/news/2020-05-25/coronavirus-students-back-to-school-education-digital-divide/12273772" TargetMode="External"/><Relationship Id="rId23" Type="http://schemas.openxmlformats.org/officeDocument/2006/relationships/hyperlink" Target="https://doi.org/https://doi.org/10.1080/15391523.2016.1146564" TargetMode="External"/><Relationship Id="rId28" Type="http://schemas.openxmlformats.org/officeDocument/2006/relationships/hyperlink" Target="https://doi.org/https://doi.org/10.2190/EC.48.3.d" TargetMode="External"/><Relationship Id="rId36" Type="http://schemas.openxmlformats.org/officeDocument/2006/relationships/hyperlink" Target="http://hdl.handle.net/10453/128561" TargetMode="External"/><Relationship Id="rId49" Type="http://schemas.openxmlformats.org/officeDocument/2006/relationships/hyperlink" Target="http://ijoc.org/index.php/ijoc/index" TargetMode="External"/><Relationship Id="rId57" Type="http://schemas.openxmlformats.org/officeDocument/2006/relationships/hyperlink" Target="https://doi.org/10.1177/1461444816667084" TargetMode="External"/><Relationship Id="rId10" Type="http://schemas.openxmlformats.org/officeDocument/2006/relationships/hyperlink" Target="http://journal.acce.edu.au/index.php/AEC/article/view/9" TargetMode="External"/><Relationship Id="rId31" Type="http://schemas.openxmlformats.org/officeDocument/2006/relationships/hyperlink" Target="https://theconversation.com/coronavirus-school-closures-impact-1-3-billion-children-and-remote-learning-is-increasing-inequality-138656" TargetMode="External"/><Relationship Id="rId44" Type="http://schemas.openxmlformats.org/officeDocument/2006/relationships/hyperlink" Target="https://doi.org/https://doi.org/10.1080/03054985.2017.1305047" TargetMode="External"/><Relationship Id="rId52" Type="http://schemas.openxmlformats.org/officeDocument/2006/relationships/hyperlink" Target="https://doi.org/10.1177/1461444818797082"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bs.gov.au/ausstats/abs@.nsf/0/ACC2D18CC958BC7BCA2568A9001393AE?Opendocument" TargetMode="External"/><Relationship Id="rId13" Type="http://schemas.openxmlformats.org/officeDocument/2006/relationships/hyperlink" Target="https://docs.education.gov.au/system/files/doc/other/deag_final_report.pdf" TargetMode="External"/><Relationship Id="rId18" Type="http://schemas.openxmlformats.org/officeDocument/2006/relationships/hyperlink" Target="https://research.acer.edu.au/ict_literacy/23/" TargetMode="External"/><Relationship Id="rId39" Type="http://schemas.openxmlformats.org/officeDocument/2006/relationships/hyperlink" Target="https://doi.org/http://dx.doi.org/10.1007/s10639-015-9419-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6238</Words>
  <Characters>36247</Characters>
  <Application>Microsoft Office Word</Application>
  <DocSecurity>0</DocSecurity>
  <Lines>659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Zagami</cp:lastModifiedBy>
  <cp:revision>4</cp:revision>
  <dcterms:created xsi:type="dcterms:W3CDTF">2020-08-06T02:25:00Z</dcterms:created>
  <dcterms:modified xsi:type="dcterms:W3CDTF">2020-08-06T03:50:00Z</dcterms:modified>
</cp:coreProperties>
</file>